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33" w:rsidRPr="002A3ACE" w:rsidRDefault="00EF70FF">
      <w:pPr>
        <w:pStyle w:val="SpecHead1"/>
        <w:rPr>
          <w:sz w:val="28"/>
          <w:szCs w:val="28"/>
        </w:rPr>
      </w:pPr>
      <w:r>
        <w:rPr>
          <w:sz w:val="28"/>
          <w:szCs w:val="28"/>
        </w:rPr>
        <w:t>M.16.08</w:t>
      </w:r>
    </w:p>
    <w:p w:rsidR="001B3933" w:rsidRDefault="001B3933">
      <w:pPr>
        <w:tabs>
          <w:tab w:val="left" w:pos="-288"/>
          <w:tab w:val="left" w:pos="432"/>
          <w:tab w:val="left" w:pos="1152"/>
        </w:tabs>
        <w:suppressAutoHyphens/>
        <w:spacing w:line="240" w:lineRule="exact"/>
        <w:rPr>
          <w:spacing w:val="-2"/>
        </w:rPr>
      </w:pPr>
    </w:p>
    <w:p w:rsidR="001B3933" w:rsidRDefault="001B3933">
      <w:pPr>
        <w:pStyle w:val="SpecHead2"/>
      </w:pPr>
      <w:r>
        <w:t>Article M16.08 - Pedestrian Push Button:</w:t>
      </w:r>
    </w:p>
    <w:p w:rsidR="001B3933" w:rsidRDefault="001B3933">
      <w:pPr>
        <w:tabs>
          <w:tab w:val="left" w:pos="-288"/>
          <w:tab w:val="left" w:pos="432"/>
          <w:tab w:val="left" w:pos="1152"/>
        </w:tabs>
        <w:suppressAutoHyphens/>
        <w:spacing w:line="240" w:lineRule="exact"/>
        <w:rPr>
          <w:spacing w:val="-2"/>
        </w:rPr>
      </w:pPr>
      <w:r>
        <w:rPr>
          <w:spacing w:val="-2"/>
        </w:rPr>
        <w:tab/>
        <w:t>Delete the entire section and replace with the following:</w:t>
      </w:r>
    </w:p>
    <w:p w:rsidR="001B3933" w:rsidRDefault="001B3933">
      <w:pPr>
        <w:tabs>
          <w:tab w:val="left" w:pos="-288"/>
          <w:tab w:val="left" w:pos="432"/>
          <w:tab w:val="left" w:pos="1152"/>
        </w:tabs>
        <w:suppressAutoHyphens/>
        <w:spacing w:line="240" w:lineRule="exact"/>
        <w:rPr>
          <w:spacing w:val="-2"/>
        </w:rPr>
      </w:pPr>
    </w:p>
    <w:p w:rsidR="001B3933" w:rsidRDefault="001B3933">
      <w:pPr>
        <w:tabs>
          <w:tab w:val="left" w:pos="-288"/>
          <w:tab w:val="left" w:pos="432"/>
          <w:tab w:val="left" w:pos="1152"/>
        </w:tabs>
        <w:suppressAutoHyphens/>
        <w:spacing w:line="240" w:lineRule="exact"/>
        <w:rPr>
          <w:spacing w:val="-2"/>
        </w:rPr>
      </w:pPr>
      <w:r>
        <w:rPr>
          <w:spacing w:val="-2"/>
        </w:rPr>
        <w:t>A. General</w:t>
      </w:r>
    </w:p>
    <w:p w:rsidR="001B3933" w:rsidRDefault="001B3933">
      <w:pPr>
        <w:numPr>
          <w:ilvl w:val="0"/>
          <w:numId w:val="10"/>
        </w:numPr>
        <w:tabs>
          <w:tab w:val="clear" w:pos="360"/>
          <w:tab w:val="left" w:pos="-288"/>
          <w:tab w:val="left" w:pos="720"/>
        </w:tabs>
        <w:suppressAutoHyphens/>
        <w:spacing w:line="240" w:lineRule="exact"/>
        <w:ind w:left="720"/>
        <w:rPr>
          <w:spacing w:val="-2"/>
        </w:rPr>
      </w:pPr>
      <w:r>
        <w:rPr>
          <w:spacing w:val="-2"/>
        </w:rPr>
        <w:t xml:space="preserve">Size and force compliant with </w:t>
      </w:r>
      <w:smartTag w:uri="urn:schemas-microsoft-com:office:smarttags" w:element="City">
        <w:smartTag w:uri="urn:schemas-microsoft-com:office:smarttags" w:element="place">
          <w:r>
            <w:rPr>
              <w:spacing w:val="-2"/>
            </w:rPr>
            <w:t>ADA</w:t>
          </w:r>
        </w:smartTag>
      </w:smartTag>
      <w:r>
        <w:rPr>
          <w:spacing w:val="-2"/>
        </w:rPr>
        <w:t>, Section 14.2.5, Crossing Controls.</w:t>
      </w:r>
    </w:p>
    <w:p w:rsidR="001B3933" w:rsidRDefault="001B3933">
      <w:pPr>
        <w:numPr>
          <w:ilvl w:val="0"/>
          <w:numId w:val="10"/>
        </w:numPr>
        <w:tabs>
          <w:tab w:val="clear" w:pos="360"/>
          <w:tab w:val="left" w:pos="-288"/>
          <w:tab w:val="left" w:pos="720"/>
        </w:tabs>
        <w:suppressAutoHyphens/>
        <w:spacing w:line="240" w:lineRule="exact"/>
        <w:ind w:left="720"/>
        <w:rPr>
          <w:spacing w:val="-2"/>
        </w:rPr>
      </w:pPr>
      <w:r>
        <w:rPr>
          <w:spacing w:val="-2"/>
        </w:rPr>
        <w:t>Tamper-proof, and Vandal-proof, Weatherproof, Freeze-proof, Impact-resistant design and construction.</w:t>
      </w:r>
    </w:p>
    <w:p w:rsidR="001B3933" w:rsidRDefault="001B3933">
      <w:pPr>
        <w:numPr>
          <w:ilvl w:val="0"/>
          <w:numId w:val="10"/>
        </w:numPr>
        <w:tabs>
          <w:tab w:val="clear" w:pos="360"/>
          <w:tab w:val="left" w:pos="-288"/>
          <w:tab w:val="left" w:pos="720"/>
        </w:tabs>
        <w:suppressAutoHyphens/>
        <w:spacing w:line="240" w:lineRule="exact"/>
        <w:ind w:left="720"/>
        <w:rPr>
          <w:spacing w:val="-2"/>
        </w:rPr>
      </w:pPr>
      <w:r>
        <w:rPr>
          <w:spacing w:val="-2"/>
        </w:rPr>
        <w:t>Completely insulated to preclude electrical shock under any weather conditions.</w:t>
      </w:r>
    </w:p>
    <w:p w:rsidR="001B3933" w:rsidRDefault="001B3933">
      <w:pPr>
        <w:numPr>
          <w:ilvl w:val="0"/>
          <w:numId w:val="10"/>
        </w:numPr>
        <w:tabs>
          <w:tab w:val="clear" w:pos="360"/>
          <w:tab w:val="left" w:pos="-288"/>
          <w:tab w:val="left" w:pos="720"/>
        </w:tabs>
        <w:suppressAutoHyphens/>
        <w:spacing w:line="240" w:lineRule="exact"/>
        <w:ind w:left="720"/>
        <w:rPr>
          <w:spacing w:val="-2"/>
        </w:rPr>
      </w:pPr>
      <w:r>
        <w:rPr>
          <w:spacing w:val="-2"/>
        </w:rPr>
        <w:t>Wire entrance through the rear.</w:t>
      </w:r>
    </w:p>
    <w:p w:rsidR="001B3933" w:rsidRDefault="001B3933">
      <w:pPr>
        <w:numPr>
          <w:ilvl w:val="0"/>
          <w:numId w:val="10"/>
        </w:numPr>
        <w:tabs>
          <w:tab w:val="clear" w:pos="360"/>
          <w:tab w:val="left" w:pos="-288"/>
          <w:tab w:val="left" w:pos="720"/>
        </w:tabs>
        <w:suppressAutoHyphens/>
        <w:spacing w:line="240" w:lineRule="exact"/>
        <w:ind w:left="720"/>
        <w:rPr>
          <w:spacing w:val="-2"/>
        </w:rPr>
      </w:pPr>
      <w:r>
        <w:rPr>
          <w:spacing w:val="-2"/>
        </w:rPr>
        <w:t>Stainless steel mounting hardware.</w:t>
      </w:r>
    </w:p>
    <w:p w:rsidR="001B3933" w:rsidRDefault="009A57CF" w:rsidP="009A57CF">
      <w:pPr>
        <w:tabs>
          <w:tab w:val="left" w:pos="-288"/>
          <w:tab w:val="left" w:pos="6925"/>
        </w:tabs>
        <w:suppressAutoHyphens/>
        <w:spacing w:line="240" w:lineRule="exact"/>
        <w:rPr>
          <w:spacing w:val="-2"/>
        </w:rPr>
      </w:pPr>
      <w:r>
        <w:rPr>
          <w:spacing w:val="-2"/>
        </w:rPr>
        <w:tab/>
      </w:r>
    </w:p>
    <w:p w:rsidR="001B3933" w:rsidRDefault="001B3933">
      <w:pPr>
        <w:tabs>
          <w:tab w:val="left" w:pos="-288"/>
          <w:tab w:val="left" w:pos="432"/>
          <w:tab w:val="left" w:pos="1152"/>
        </w:tabs>
        <w:suppressAutoHyphens/>
        <w:spacing w:line="240" w:lineRule="exact"/>
        <w:rPr>
          <w:spacing w:val="-2"/>
        </w:rPr>
      </w:pPr>
      <w:r>
        <w:rPr>
          <w:spacing w:val="-2"/>
        </w:rPr>
        <w:t>B. Actuation</w:t>
      </w:r>
    </w:p>
    <w:p w:rsidR="001B3933" w:rsidRDefault="001B3933">
      <w:pPr>
        <w:numPr>
          <w:ilvl w:val="0"/>
          <w:numId w:val="12"/>
        </w:numPr>
        <w:tabs>
          <w:tab w:val="clear" w:pos="810"/>
          <w:tab w:val="left" w:pos="-288"/>
          <w:tab w:val="left" w:pos="432"/>
          <w:tab w:val="num" w:pos="795"/>
          <w:tab w:val="left" w:pos="1152"/>
        </w:tabs>
        <w:suppressAutoHyphens/>
        <w:spacing w:line="240" w:lineRule="exact"/>
        <w:ind w:left="795"/>
        <w:rPr>
          <w:spacing w:val="-2"/>
        </w:rPr>
      </w:pPr>
      <w:r>
        <w:rPr>
          <w:spacing w:val="-2"/>
        </w:rPr>
        <w:t>Mechanical:</w:t>
      </w:r>
    </w:p>
    <w:p w:rsidR="001B3933" w:rsidRDefault="001B3933">
      <w:pPr>
        <w:numPr>
          <w:ilvl w:val="0"/>
          <w:numId w:val="14"/>
        </w:numPr>
        <w:tabs>
          <w:tab w:val="clear" w:pos="360"/>
          <w:tab w:val="left" w:pos="-288"/>
          <w:tab w:val="left" w:pos="720"/>
          <w:tab w:val="left" w:pos="1080"/>
          <w:tab w:val="num" w:pos="1440"/>
        </w:tabs>
        <w:suppressAutoHyphens/>
        <w:spacing w:line="240" w:lineRule="exact"/>
        <w:ind w:left="1440"/>
        <w:rPr>
          <w:spacing w:val="-2"/>
        </w:rPr>
      </w:pPr>
      <w:r>
        <w:rPr>
          <w:spacing w:val="-2"/>
        </w:rPr>
        <w:t>Single momentary contact switch with tactile feedback.</w:t>
      </w:r>
    </w:p>
    <w:p w:rsidR="001B3933" w:rsidRDefault="001B3933">
      <w:pPr>
        <w:numPr>
          <w:ilvl w:val="0"/>
          <w:numId w:val="14"/>
        </w:numPr>
        <w:tabs>
          <w:tab w:val="clear" w:pos="360"/>
          <w:tab w:val="left" w:pos="-288"/>
          <w:tab w:val="left" w:pos="720"/>
          <w:tab w:val="left" w:pos="1080"/>
          <w:tab w:val="num" w:pos="1440"/>
        </w:tabs>
        <w:suppressAutoHyphens/>
        <w:spacing w:line="240" w:lineRule="exact"/>
        <w:ind w:left="1440"/>
        <w:rPr>
          <w:spacing w:val="-2"/>
        </w:rPr>
      </w:pPr>
      <w:r>
        <w:rPr>
          <w:spacing w:val="-2"/>
        </w:rPr>
        <w:t>Rated at 10 amps, 125 volts.</w:t>
      </w:r>
    </w:p>
    <w:p w:rsidR="001B3933" w:rsidRDefault="001B3933">
      <w:pPr>
        <w:numPr>
          <w:ilvl w:val="0"/>
          <w:numId w:val="14"/>
        </w:numPr>
        <w:tabs>
          <w:tab w:val="clear" w:pos="360"/>
          <w:tab w:val="left" w:pos="-288"/>
          <w:tab w:val="left" w:pos="720"/>
          <w:tab w:val="left" w:pos="1080"/>
          <w:tab w:val="num" w:pos="1440"/>
        </w:tabs>
        <w:suppressAutoHyphens/>
        <w:spacing w:line="240" w:lineRule="exact"/>
        <w:ind w:left="1440"/>
        <w:rPr>
          <w:spacing w:val="-2"/>
        </w:rPr>
      </w:pPr>
      <w:bookmarkStart w:id="0" w:name="_GoBack"/>
      <w:bookmarkEnd w:id="0"/>
      <w:r>
        <w:rPr>
          <w:spacing w:val="-2"/>
        </w:rPr>
        <w:t>Normally open, closed when actuated.</w:t>
      </w:r>
    </w:p>
    <w:p w:rsidR="001B3933" w:rsidRDefault="001B3933">
      <w:pPr>
        <w:numPr>
          <w:ilvl w:val="0"/>
          <w:numId w:val="12"/>
        </w:numPr>
        <w:tabs>
          <w:tab w:val="clear" w:pos="810"/>
          <w:tab w:val="left" w:pos="-288"/>
          <w:tab w:val="left" w:pos="432"/>
          <w:tab w:val="num" w:pos="795"/>
          <w:tab w:val="left" w:pos="1152"/>
        </w:tabs>
        <w:suppressAutoHyphens/>
        <w:spacing w:line="240" w:lineRule="exact"/>
        <w:ind w:left="795"/>
        <w:rPr>
          <w:spacing w:val="-2"/>
        </w:rPr>
      </w:pPr>
      <w:r>
        <w:rPr>
          <w:spacing w:val="-2"/>
        </w:rPr>
        <w:t>Piezo:</w:t>
      </w:r>
    </w:p>
    <w:p w:rsidR="001B3933" w:rsidRDefault="001B3933">
      <w:pPr>
        <w:numPr>
          <w:ilvl w:val="0"/>
          <w:numId w:val="15"/>
        </w:numPr>
        <w:tabs>
          <w:tab w:val="clear" w:pos="360"/>
          <w:tab w:val="left" w:pos="-288"/>
          <w:tab w:val="left" w:pos="720"/>
          <w:tab w:val="left" w:pos="1080"/>
          <w:tab w:val="num" w:pos="1440"/>
        </w:tabs>
        <w:suppressAutoHyphens/>
        <w:spacing w:line="240" w:lineRule="exact"/>
        <w:ind w:left="1440"/>
        <w:rPr>
          <w:spacing w:val="-2"/>
        </w:rPr>
      </w:pPr>
      <w:r>
        <w:rPr>
          <w:spacing w:val="-2"/>
        </w:rPr>
        <w:t>Either non-movable or minimal movement (&lt; 1/16” (1.6)) pressure activation.</w:t>
      </w:r>
    </w:p>
    <w:p w:rsidR="001B3933" w:rsidRDefault="001B3933">
      <w:pPr>
        <w:numPr>
          <w:ilvl w:val="0"/>
          <w:numId w:val="15"/>
        </w:numPr>
        <w:tabs>
          <w:tab w:val="clear" w:pos="360"/>
          <w:tab w:val="left" w:pos="-288"/>
          <w:tab w:val="left" w:pos="720"/>
          <w:tab w:val="left" w:pos="1080"/>
          <w:tab w:val="num" w:pos="1440"/>
        </w:tabs>
        <w:suppressAutoHyphens/>
        <w:spacing w:line="240" w:lineRule="exact"/>
        <w:ind w:left="1440"/>
        <w:rPr>
          <w:spacing w:val="-2"/>
        </w:rPr>
      </w:pPr>
      <w:r>
        <w:rPr>
          <w:spacing w:val="-2"/>
        </w:rPr>
        <w:t>Audible confirmation beep to correspond with circuit closure.</w:t>
      </w:r>
    </w:p>
    <w:p w:rsidR="001B3933" w:rsidRDefault="001B3933">
      <w:pPr>
        <w:numPr>
          <w:ilvl w:val="0"/>
          <w:numId w:val="15"/>
        </w:numPr>
        <w:tabs>
          <w:tab w:val="clear" w:pos="360"/>
          <w:tab w:val="left" w:pos="-288"/>
          <w:tab w:val="left" w:pos="720"/>
          <w:tab w:val="left" w:pos="1080"/>
          <w:tab w:val="num" w:pos="1440"/>
        </w:tabs>
        <w:suppressAutoHyphens/>
        <w:spacing w:line="240" w:lineRule="exact"/>
        <w:ind w:left="1440"/>
        <w:rPr>
          <w:spacing w:val="-2"/>
        </w:rPr>
      </w:pPr>
      <w:r>
        <w:rPr>
          <w:spacing w:val="-2"/>
        </w:rPr>
        <w:t>Minimum 100,000,000 actuations.</w:t>
      </w:r>
    </w:p>
    <w:p w:rsidR="001B3933" w:rsidRDefault="001B3933">
      <w:pPr>
        <w:tabs>
          <w:tab w:val="left" w:pos="-288"/>
          <w:tab w:val="left" w:pos="432"/>
          <w:tab w:val="left" w:pos="1152"/>
        </w:tabs>
        <w:suppressAutoHyphens/>
        <w:spacing w:line="240" w:lineRule="exact"/>
        <w:rPr>
          <w:spacing w:val="-2"/>
        </w:rPr>
      </w:pPr>
      <w:r>
        <w:rPr>
          <w:spacing w:val="-2"/>
        </w:rPr>
        <w:t>C. Housing</w:t>
      </w:r>
    </w:p>
    <w:p w:rsidR="001B3933" w:rsidRDefault="001B3933">
      <w:pPr>
        <w:numPr>
          <w:ilvl w:val="0"/>
          <w:numId w:val="16"/>
        </w:numPr>
        <w:tabs>
          <w:tab w:val="clear" w:pos="360"/>
          <w:tab w:val="left" w:pos="-288"/>
          <w:tab w:val="left" w:pos="720"/>
        </w:tabs>
        <w:suppressAutoHyphens/>
        <w:spacing w:line="240" w:lineRule="exact"/>
        <w:ind w:left="720"/>
        <w:rPr>
          <w:spacing w:val="-2"/>
        </w:rPr>
      </w:pPr>
      <w:r>
        <w:rPr>
          <w:spacing w:val="-2"/>
        </w:rPr>
        <w:t>Die cast aluminum meeting requirements of ASTM B85.</w:t>
      </w:r>
    </w:p>
    <w:p w:rsidR="001B3933" w:rsidRDefault="001B3933">
      <w:pPr>
        <w:numPr>
          <w:ilvl w:val="0"/>
          <w:numId w:val="16"/>
        </w:numPr>
        <w:tabs>
          <w:tab w:val="clear" w:pos="360"/>
          <w:tab w:val="left" w:pos="-288"/>
          <w:tab w:val="left" w:pos="720"/>
        </w:tabs>
        <w:suppressAutoHyphens/>
        <w:spacing w:line="240" w:lineRule="exact"/>
        <w:ind w:left="720"/>
        <w:rPr>
          <w:spacing w:val="-2"/>
        </w:rPr>
      </w:pPr>
      <w:r>
        <w:rPr>
          <w:spacing w:val="-2"/>
        </w:rPr>
        <w:t>Designed to attach 9" x 12" (230 x 300) four-hole advisory sign.</w:t>
      </w:r>
    </w:p>
    <w:p w:rsidR="001B3933" w:rsidRDefault="001B3933">
      <w:pPr>
        <w:numPr>
          <w:ilvl w:val="0"/>
          <w:numId w:val="16"/>
        </w:numPr>
        <w:tabs>
          <w:tab w:val="clear" w:pos="360"/>
          <w:tab w:val="left" w:pos="-288"/>
          <w:tab w:val="left" w:pos="720"/>
        </w:tabs>
        <w:suppressAutoHyphens/>
        <w:spacing w:line="240" w:lineRule="exact"/>
        <w:ind w:left="720"/>
        <w:rPr>
          <w:spacing w:val="-2"/>
        </w:rPr>
      </w:pPr>
      <w:r>
        <w:rPr>
          <w:spacing w:val="-2"/>
        </w:rPr>
        <w:t>Flat back to facilitate surface mount.</w:t>
      </w:r>
    </w:p>
    <w:p w:rsidR="001B3933" w:rsidRDefault="001B3933">
      <w:pPr>
        <w:numPr>
          <w:ilvl w:val="0"/>
          <w:numId w:val="16"/>
        </w:numPr>
        <w:tabs>
          <w:tab w:val="clear" w:pos="360"/>
          <w:tab w:val="left" w:pos="-288"/>
          <w:tab w:val="left" w:pos="720"/>
        </w:tabs>
        <w:suppressAutoHyphens/>
        <w:spacing w:line="240" w:lineRule="exact"/>
        <w:ind w:left="720"/>
        <w:rPr>
          <w:spacing w:val="-2"/>
        </w:rPr>
      </w:pPr>
      <w:r>
        <w:rPr>
          <w:spacing w:val="-2"/>
        </w:rPr>
        <w:t>Available hardware to either pedestal top-mount or pole side-mount on diameter range of 3½" (89) to 15" (380).</w:t>
      </w:r>
    </w:p>
    <w:p w:rsidR="00667631" w:rsidRPr="00AA0BFA" w:rsidRDefault="00667631" w:rsidP="00667631">
      <w:pPr>
        <w:numPr>
          <w:ilvl w:val="0"/>
          <w:numId w:val="16"/>
        </w:numPr>
        <w:tabs>
          <w:tab w:val="clear" w:pos="360"/>
          <w:tab w:val="left" w:pos="-288"/>
          <w:tab w:val="left" w:pos="720"/>
        </w:tabs>
        <w:suppressAutoHyphens/>
        <w:spacing w:line="240" w:lineRule="exact"/>
        <w:ind w:left="720"/>
        <w:rPr>
          <w:spacing w:val="-2"/>
        </w:rPr>
      </w:pPr>
      <w:r w:rsidRPr="00AA0BFA">
        <w:rPr>
          <w:spacing w:val="-2"/>
        </w:rPr>
        <w:t>Available extension bracket of a size indicated on the plan – 18” maximum.</w:t>
      </w:r>
    </w:p>
    <w:p w:rsidR="001B3933" w:rsidRDefault="001B3933">
      <w:pPr>
        <w:tabs>
          <w:tab w:val="left" w:pos="-288"/>
          <w:tab w:val="left" w:pos="432"/>
          <w:tab w:val="left" w:pos="1152"/>
        </w:tabs>
        <w:suppressAutoHyphens/>
        <w:spacing w:line="240" w:lineRule="exact"/>
        <w:rPr>
          <w:spacing w:val="-2"/>
        </w:rPr>
      </w:pPr>
    </w:p>
    <w:p w:rsidR="001B3933" w:rsidRDefault="001B3933">
      <w:pPr>
        <w:tabs>
          <w:tab w:val="left" w:pos="-288"/>
          <w:tab w:val="left" w:pos="432"/>
          <w:tab w:val="left" w:pos="1152"/>
        </w:tabs>
        <w:suppressAutoHyphens/>
        <w:spacing w:line="240" w:lineRule="exact"/>
        <w:rPr>
          <w:spacing w:val="-2"/>
        </w:rPr>
      </w:pPr>
      <w:r>
        <w:rPr>
          <w:spacing w:val="-2"/>
        </w:rPr>
        <w:t>D. Finish</w:t>
      </w:r>
    </w:p>
    <w:p w:rsidR="001B3933" w:rsidRDefault="001B3933">
      <w:pPr>
        <w:numPr>
          <w:ilvl w:val="0"/>
          <w:numId w:val="17"/>
        </w:numPr>
        <w:tabs>
          <w:tab w:val="clear" w:pos="360"/>
          <w:tab w:val="left" w:pos="-288"/>
          <w:tab w:val="num" w:pos="720"/>
        </w:tabs>
        <w:suppressAutoHyphens/>
        <w:spacing w:line="240" w:lineRule="exact"/>
        <w:ind w:left="720"/>
        <w:rPr>
          <w:spacing w:val="-2"/>
        </w:rPr>
      </w:pPr>
      <w:r>
        <w:rPr>
          <w:spacing w:val="-2"/>
        </w:rPr>
        <w:t>Method: Either</w:t>
      </w:r>
    </w:p>
    <w:p w:rsidR="001B3933" w:rsidRDefault="001B3933">
      <w:pPr>
        <w:tabs>
          <w:tab w:val="left" w:pos="-288"/>
          <w:tab w:val="left" w:pos="720"/>
          <w:tab w:val="left" w:pos="1152"/>
        </w:tabs>
        <w:suppressAutoHyphens/>
        <w:spacing w:line="240" w:lineRule="exact"/>
        <w:ind w:left="720"/>
        <w:rPr>
          <w:spacing w:val="-2"/>
        </w:rPr>
      </w:pPr>
      <w:r>
        <w:rPr>
          <w:spacing w:val="-2"/>
        </w:rPr>
        <w:t>1. Painted with 3 coats of infrared oven-baked paint before assembly.</w:t>
      </w:r>
    </w:p>
    <w:p w:rsidR="001B3933" w:rsidRDefault="001B3933">
      <w:pPr>
        <w:numPr>
          <w:ilvl w:val="0"/>
          <w:numId w:val="18"/>
        </w:numPr>
        <w:tabs>
          <w:tab w:val="clear" w:pos="360"/>
          <w:tab w:val="left" w:pos="-288"/>
          <w:tab w:val="left" w:pos="720"/>
          <w:tab w:val="num" w:pos="1080"/>
          <w:tab w:val="left" w:pos="1440"/>
        </w:tabs>
        <w:suppressAutoHyphens/>
        <w:spacing w:line="240" w:lineRule="exact"/>
        <w:ind w:left="1440"/>
        <w:rPr>
          <w:spacing w:val="-2"/>
        </w:rPr>
      </w:pPr>
      <w:r>
        <w:rPr>
          <w:spacing w:val="-2"/>
        </w:rPr>
        <w:t>Primer: Baked iron oxide which meets or exceeds FS TT-P-636.</w:t>
      </w:r>
    </w:p>
    <w:p w:rsidR="001B3933" w:rsidRDefault="001B3933">
      <w:pPr>
        <w:numPr>
          <w:ilvl w:val="0"/>
          <w:numId w:val="18"/>
        </w:numPr>
        <w:tabs>
          <w:tab w:val="clear" w:pos="360"/>
          <w:tab w:val="left" w:pos="-288"/>
          <w:tab w:val="left" w:pos="720"/>
          <w:tab w:val="num" w:pos="1080"/>
          <w:tab w:val="left" w:pos="1440"/>
        </w:tabs>
        <w:suppressAutoHyphens/>
        <w:spacing w:line="240" w:lineRule="exact"/>
        <w:ind w:left="1440"/>
        <w:rPr>
          <w:spacing w:val="-2"/>
        </w:rPr>
      </w:pPr>
      <w:r>
        <w:rPr>
          <w:spacing w:val="-2"/>
        </w:rPr>
        <w:t>Second coat: Exterior-baking enamel, light gray, which meets or exceeds FS TT-E-527.</w:t>
      </w:r>
    </w:p>
    <w:p w:rsidR="001B3933" w:rsidRDefault="001B3933">
      <w:pPr>
        <w:numPr>
          <w:ilvl w:val="0"/>
          <w:numId w:val="18"/>
        </w:numPr>
        <w:tabs>
          <w:tab w:val="clear" w:pos="360"/>
          <w:tab w:val="left" w:pos="-288"/>
          <w:tab w:val="left" w:pos="720"/>
          <w:tab w:val="num" w:pos="1080"/>
          <w:tab w:val="left" w:pos="1440"/>
        </w:tabs>
        <w:suppressAutoHyphens/>
        <w:spacing w:line="240" w:lineRule="exact"/>
        <w:ind w:left="1440"/>
        <w:rPr>
          <w:spacing w:val="-2"/>
        </w:rPr>
      </w:pPr>
      <w:r>
        <w:rPr>
          <w:spacing w:val="-2"/>
        </w:rPr>
        <w:t>Third coat: Exterior-baking enamel, which meets or exceeds FS TT-E-489.</w:t>
      </w:r>
    </w:p>
    <w:p w:rsidR="001B3933" w:rsidRDefault="001B3933">
      <w:pPr>
        <w:tabs>
          <w:tab w:val="left" w:pos="-288"/>
          <w:tab w:val="left" w:pos="720"/>
          <w:tab w:val="left" w:pos="1152"/>
        </w:tabs>
        <w:suppressAutoHyphens/>
        <w:spacing w:line="240" w:lineRule="exact"/>
        <w:ind w:left="720"/>
        <w:rPr>
          <w:spacing w:val="-2"/>
        </w:rPr>
      </w:pPr>
      <w:r>
        <w:rPr>
          <w:spacing w:val="-2"/>
        </w:rPr>
        <w:t>2. Electrostatic powder coated after chemically cleaned.</w:t>
      </w:r>
    </w:p>
    <w:p w:rsidR="00677F98" w:rsidRDefault="00677F98" w:rsidP="00677F98">
      <w:pPr>
        <w:tabs>
          <w:tab w:val="left" w:pos="-288"/>
          <w:tab w:val="left" w:pos="720"/>
          <w:tab w:val="left" w:pos="1152"/>
        </w:tabs>
        <w:suppressAutoHyphens/>
        <w:spacing w:line="240" w:lineRule="exact"/>
        <w:rPr>
          <w:spacing w:val="-2"/>
        </w:rPr>
      </w:pPr>
    </w:p>
    <w:p w:rsidR="00677F98" w:rsidRPr="009A1EA1" w:rsidRDefault="00677F98" w:rsidP="00677F98">
      <w:r w:rsidRPr="009A1EA1">
        <w:t>Article M.16.08 Painting:</w:t>
      </w:r>
    </w:p>
    <w:p w:rsidR="00677F98" w:rsidRPr="009A1EA1" w:rsidRDefault="00677F98" w:rsidP="00677F98">
      <w:pPr>
        <w:tabs>
          <w:tab w:val="left" w:pos="0"/>
          <w:tab w:val="left" w:pos="144"/>
          <w:tab w:val="left" w:pos="864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exact"/>
        <w:jc w:val="left"/>
        <w:rPr>
          <w:rFonts w:eastAsia="Calibri"/>
          <w:spacing w:val="-3"/>
          <w:szCs w:val="24"/>
        </w:rPr>
      </w:pPr>
      <w:r w:rsidRPr="009A1EA1">
        <w:rPr>
          <w:rFonts w:eastAsia="Calibri"/>
          <w:b/>
          <w:spacing w:val="-3"/>
          <w:szCs w:val="24"/>
        </w:rPr>
        <w:tab/>
      </w:r>
      <w:r w:rsidRPr="009A1EA1">
        <w:rPr>
          <w:rFonts w:eastAsia="Calibri"/>
          <w:b/>
          <w:spacing w:val="-3"/>
          <w:szCs w:val="24"/>
        </w:rPr>
        <w:tab/>
        <w:t>Third coat:</w:t>
      </w:r>
      <w:r w:rsidRPr="009A1EA1">
        <w:rPr>
          <w:rFonts w:eastAsia="Calibri"/>
          <w:spacing w:val="-3"/>
          <w:szCs w:val="24"/>
        </w:rPr>
        <w:t xml:space="preserve"> Replace with the following:</w:t>
      </w:r>
    </w:p>
    <w:p w:rsidR="00677F98" w:rsidRPr="009A1EA1" w:rsidRDefault="00677F98" w:rsidP="00677F98">
      <w:pPr>
        <w:tabs>
          <w:tab w:val="left" w:pos="0"/>
          <w:tab w:val="left" w:pos="144"/>
          <w:tab w:val="left" w:pos="864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exact"/>
        <w:jc w:val="left"/>
        <w:rPr>
          <w:rFonts w:eastAsia="Calibri"/>
          <w:spacing w:val="-3"/>
          <w:szCs w:val="24"/>
        </w:rPr>
      </w:pPr>
    </w:p>
    <w:p w:rsidR="00677F98" w:rsidRPr="009A1EA1" w:rsidRDefault="00677F98" w:rsidP="00677F98">
      <w:pPr>
        <w:tabs>
          <w:tab w:val="left" w:pos="0"/>
          <w:tab w:val="left" w:pos="144"/>
          <w:tab w:val="left" w:pos="864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exact"/>
        <w:jc w:val="left"/>
        <w:rPr>
          <w:rFonts w:eastAsia="Calibri"/>
          <w:b/>
          <w:spacing w:val="-3"/>
          <w:szCs w:val="24"/>
        </w:rPr>
      </w:pPr>
      <w:r w:rsidRPr="009A1EA1">
        <w:rPr>
          <w:rFonts w:eastAsia="Calibri"/>
          <w:spacing w:val="-3"/>
          <w:szCs w:val="24"/>
        </w:rPr>
        <w:tab/>
        <w:t>All brackets and hardware shall be painted yellow by the manufacturer. The color shall be No. 13538, Federal Standard No. 595.</w:t>
      </w:r>
    </w:p>
    <w:p w:rsidR="00677F98" w:rsidRPr="009A1EA1" w:rsidRDefault="00677F98" w:rsidP="00677F98">
      <w:pPr>
        <w:tabs>
          <w:tab w:val="left" w:pos="0"/>
          <w:tab w:val="left" w:pos="2160"/>
        </w:tabs>
        <w:suppressAutoHyphens/>
        <w:spacing w:line="240" w:lineRule="exact"/>
        <w:jc w:val="left"/>
        <w:rPr>
          <w:rFonts w:eastAsia="Calibri"/>
          <w:spacing w:val="-3"/>
          <w:szCs w:val="24"/>
        </w:rPr>
      </w:pPr>
      <w:r w:rsidRPr="009A1EA1">
        <w:rPr>
          <w:rFonts w:eastAsia="Calibri"/>
          <w:spacing w:val="-3"/>
          <w:szCs w:val="24"/>
        </w:rPr>
        <w:tab/>
      </w:r>
    </w:p>
    <w:p w:rsidR="00677F98" w:rsidRDefault="00677F98" w:rsidP="00677F98">
      <w:pPr>
        <w:tabs>
          <w:tab w:val="left" w:pos="0"/>
          <w:tab w:val="left" w:pos="144"/>
          <w:tab w:val="left" w:pos="864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exact"/>
        <w:jc w:val="left"/>
        <w:rPr>
          <w:spacing w:val="-2"/>
        </w:rPr>
      </w:pPr>
      <w:r w:rsidRPr="009A1EA1">
        <w:rPr>
          <w:rFonts w:eastAsia="Calibri"/>
          <w:spacing w:val="-3"/>
          <w:szCs w:val="24"/>
        </w:rPr>
        <w:tab/>
      </w:r>
      <w:commentRangeStart w:id="1"/>
      <w:r w:rsidRPr="009A1EA1">
        <w:rPr>
          <w:rFonts w:eastAsia="Calibri"/>
          <w:spacing w:val="-3"/>
          <w:szCs w:val="24"/>
        </w:rPr>
        <w:t>At intersections at Merritt Parkway interchanges, all brackets and hardware shall be painted dark green by the manufacturer. The color shall be No. 14056, Federal Standard No. 595.</w:t>
      </w:r>
      <w:commentRangeEnd w:id="1"/>
      <w:r w:rsidR="00C15377">
        <w:rPr>
          <w:rStyle w:val="CommentReference"/>
        </w:rPr>
        <w:commentReference w:id="1"/>
      </w:r>
    </w:p>
    <w:sectPr w:rsidR="00677F98">
      <w:headerReference w:type="default" r:id="rId10"/>
      <w:footerReference w:type="default" r:id="rId11"/>
      <w:pgSz w:w="12240" w:h="15840"/>
      <w:pgMar w:top="2160" w:right="1440" w:bottom="1080" w:left="1440" w:header="1440" w:footer="432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eSanti, Cory A." w:date="2018-06-05T07:43:00Z" w:initials="DCA">
    <w:p w:rsidR="00C15377" w:rsidRDefault="00C15377">
      <w:pPr>
        <w:pStyle w:val="CommentText"/>
      </w:pPr>
      <w:r>
        <w:rPr>
          <w:rStyle w:val="CommentReference"/>
        </w:rPr>
        <w:annotationRef/>
      </w:r>
      <w:r>
        <w:t>Remove when not applicable.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44" w:rsidRDefault="00A93544">
      <w:r>
        <w:separator/>
      </w:r>
    </w:p>
  </w:endnote>
  <w:endnote w:type="continuationSeparator" w:id="0">
    <w:p w:rsidR="00A93544" w:rsidRDefault="00A9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33" w:rsidRDefault="001B3933">
    <w:pPr>
      <w:pStyle w:val="Footer"/>
    </w:pPr>
    <w:r>
      <w:fldChar w:fldCharType="begin"/>
    </w:r>
    <w:r>
      <w:instrText xml:space="preserve"> COMMENTS  \* MERGEFORMAT </w:instrText>
    </w:r>
    <w:r>
      <w:fldChar w:fldCharType="end"/>
    </w:r>
    <w:r>
      <w:tab/>
    </w:r>
    <w:r>
      <w:rPr>
        <w:rStyle w:val="PageNumber"/>
      </w:rPr>
      <w:tab/>
      <w:t>ITEM #1107007A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44" w:rsidRDefault="00A93544">
      <w:r>
        <w:separator/>
      </w:r>
    </w:p>
  </w:footnote>
  <w:footnote w:type="continuationSeparator" w:id="0">
    <w:p w:rsidR="00A93544" w:rsidRDefault="00A9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33" w:rsidRDefault="001B3933">
    <w:pPr>
      <w:pStyle w:val="Header"/>
      <w:jc w:val="right"/>
    </w:pPr>
    <w:r>
      <w:t>R</w:t>
    </w:r>
    <w:r w:rsidR="00677F98">
      <w:t xml:space="preserve">ev. Date </w:t>
    </w:r>
    <w:r w:rsidR="00C15377">
      <w:t>06</w:t>
    </w:r>
    <w:r w:rsidR="00677F98">
      <w:t>-</w:t>
    </w:r>
    <w:r w:rsidR="00317DD9">
      <w:t>2</w:t>
    </w:r>
    <w:r w:rsidR="008A25A8">
      <w:t>2</w:t>
    </w:r>
    <w:r w:rsidR="00A82A63">
      <w:t>-</w:t>
    </w:r>
    <w:r w:rsidR="00677F98">
      <w:t>1</w:t>
    </w:r>
    <w:r w:rsidR="00A82A63">
      <w:t>8</w:t>
    </w:r>
  </w:p>
  <w:p w:rsidR="00A82A63" w:rsidRDefault="00BB366D" w:rsidP="00A82A63">
    <w:pPr>
      <w:pStyle w:val="Header"/>
      <w:jc w:val="right"/>
    </w:pPr>
    <w:r>
      <w:t>Rectangular Rapid</w:t>
    </w:r>
    <w:r w:rsidR="00A82A63">
      <w:t xml:space="preserve"> Flashing Beacon</w:t>
    </w:r>
  </w:p>
  <w:p w:rsidR="002F69FA" w:rsidRPr="002F69FA" w:rsidRDefault="002F69FA">
    <w:pPr>
      <w:pStyle w:val="Header"/>
      <w:jc w:val="right"/>
      <w:rPr>
        <w:sz w:val="14"/>
        <w:szCs w:val="14"/>
      </w:rPr>
    </w:pPr>
    <w:r w:rsidRPr="002F69FA">
      <w:rPr>
        <w:rStyle w:val="PageNumber"/>
        <w:sz w:val="14"/>
        <w:szCs w:val="14"/>
      </w:rPr>
      <w:fldChar w:fldCharType="begin"/>
    </w:r>
    <w:r w:rsidRPr="002F69FA">
      <w:rPr>
        <w:rStyle w:val="PageNumber"/>
        <w:sz w:val="14"/>
        <w:szCs w:val="14"/>
      </w:rPr>
      <w:instrText xml:space="preserve"> PAGE </w:instrText>
    </w:r>
    <w:r w:rsidRPr="002F69FA">
      <w:rPr>
        <w:rStyle w:val="PageNumber"/>
        <w:sz w:val="14"/>
        <w:szCs w:val="14"/>
      </w:rPr>
      <w:fldChar w:fldCharType="separate"/>
    </w:r>
    <w:r w:rsidR="00256100">
      <w:rPr>
        <w:rStyle w:val="PageNumber"/>
        <w:noProof/>
        <w:sz w:val="14"/>
        <w:szCs w:val="14"/>
      </w:rPr>
      <w:t>1</w:t>
    </w:r>
    <w:r w:rsidRPr="002F69FA">
      <w:rPr>
        <w:rStyle w:val="PageNumber"/>
        <w:sz w:val="14"/>
        <w:szCs w:val="14"/>
      </w:rPr>
      <w:fldChar w:fldCharType="end"/>
    </w:r>
    <w:r w:rsidRPr="002F69FA">
      <w:rPr>
        <w:rStyle w:val="PageNumber"/>
        <w:sz w:val="14"/>
        <w:szCs w:val="14"/>
      </w:rPr>
      <w:t xml:space="preserve"> of </w:t>
    </w:r>
    <w:r w:rsidRPr="002F69FA">
      <w:rPr>
        <w:rStyle w:val="PageNumber"/>
        <w:sz w:val="14"/>
        <w:szCs w:val="14"/>
      </w:rPr>
      <w:fldChar w:fldCharType="begin"/>
    </w:r>
    <w:r w:rsidRPr="002F69FA">
      <w:rPr>
        <w:rStyle w:val="PageNumber"/>
        <w:sz w:val="14"/>
        <w:szCs w:val="14"/>
      </w:rPr>
      <w:instrText xml:space="preserve"> NUMPAGES </w:instrText>
    </w:r>
    <w:r w:rsidRPr="002F69FA">
      <w:rPr>
        <w:rStyle w:val="PageNumber"/>
        <w:sz w:val="14"/>
        <w:szCs w:val="14"/>
      </w:rPr>
      <w:fldChar w:fldCharType="separate"/>
    </w:r>
    <w:r w:rsidR="00256100">
      <w:rPr>
        <w:rStyle w:val="PageNumber"/>
        <w:noProof/>
        <w:sz w:val="14"/>
        <w:szCs w:val="14"/>
      </w:rPr>
      <w:t>1</w:t>
    </w:r>
    <w:r w:rsidRPr="002F69FA">
      <w:rPr>
        <w:rStyle w:val="PageNumber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FE7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AE18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193D37"/>
    <w:multiLevelType w:val="multilevel"/>
    <w:tmpl w:val="26AC0E9E"/>
    <w:lvl w:ilvl="0">
      <w:start w:val="1"/>
      <w:numFmt w:val="lowerLetter"/>
      <w:lvlText w:val="(%1)"/>
      <w:lvlJc w:val="left"/>
      <w:pPr>
        <w:tabs>
          <w:tab w:val="num" w:pos="1512"/>
        </w:tabs>
        <w:ind w:left="1512" w:hanging="792"/>
      </w:pPr>
    </w:lvl>
    <w:lvl w:ilvl="1">
      <w:start w:val="1"/>
      <w:numFmt w:val="decimal"/>
      <w:lvlText w:val="(%2)"/>
      <w:lvlJc w:val="left"/>
      <w:pPr>
        <w:tabs>
          <w:tab w:val="num" w:pos="2232"/>
        </w:tabs>
        <w:ind w:left="2232" w:hanging="792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051163F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B454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48061B"/>
    <w:multiLevelType w:val="singleLevel"/>
    <w:tmpl w:val="C728D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B032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3506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8037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B4B23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C37345"/>
    <w:multiLevelType w:val="singleLevel"/>
    <w:tmpl w:val="7B005272"/>
    <w:lvl w:ilvl="0">
      <w:start w:val="1200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Verdana" w:hint="default"/>
        <w:sz w:val="28"/>
      </w:rPr>
    </w:lvl>
  </w:abstractNum>
  <w:abstractNum w:abstractNumId="11">
    <w:nsid w:val="3C221A6A"/>
    <w:multiLevelType w:val="singleLevel"/>
    <w:tmpl w:val="238C003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13963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</w:abstractNum>
  <w:abstractNum w:abstractNumId="13">
    <w:nsid w:val="4BCB64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E263D00"/>
    <w:multiLevelType w:val="singleLevel"/>
    <w:tmpl w:val="77B83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2532B9"/>
    <w:multiLevelType w:val="singleLevel"/>
    <w:tmpl w:val="DA5EE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8764B74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12A24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EAB32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6"/>
  </w:num>
  <w:num w:numId="5">
    <w:abstractNumId w:val="5"/>
  </w:num>
  <w:num w:numId="6">
    <w:abstractNumId w:val="15"/>
  </w:num>
  <w:num w:numId="7">
    <w:abstractNumId w:val="3"/>
  </w:num>
  <w:num w:numId="8">
    <w:abstractNumId w:val="0"/>
  </w:num>
  <w:num w:numId="9">
    <w:abstractNumId w:val="11"/>
  </w:num>
  <w:num w:numId="10">
    <w:abstractNumId w:val="17"/>
  </w:num>
  <w:num w:numId="11">
    <w:abstractNumId w:val="18"/>
  </w:num>
  <w:num w:numId="12">
    <w:abstractNumId w:val="12"/>
  </w:num>
  <w:num w:numId="13">
    <w:abstractNumId w:val="4"/>
  </w:num>
  <w:num w:numId="14">
    <w:abstractNumId w:val="6"/>
  </w:num>
  <w:num w:numId="15">
    <w:abstractNumId w:val="13"/>
  </w:num>
  <w:num w:numId="16">
    <w:abstractNumId w:val="9"/>
  </w:num>
  <w:num w:numId="17">
    <w:abstractNumId w:val="8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FA"/>
    <w:rsid w:val="00081219"/>
    <w:rsid w:val="00081CB8"/>
    <w:rsid w:val="0011041F"/>
    <w:rsid w:val="001B3933"/>
    <w:rsid w:val="001E047A"/>
    <w:rsid w:val="00256100"/>
    <w:rsid w:val="002A3ACE"/>
    <w:rsid w:val="002F69FA"/>
    <w:rsid w:val="00317DD9"/>
    <w:rsid w:val="0045213B"/>
    <w:rsid w:val="00456CE8"/>
    <w:rsid w:val="004B3CB5"/>
    <w:rsid w:val="004F0DDD"/>
    <w:rsid w:val="00580661"/>
    <w:rsid w:val="00667631"/>
    <w:rsid w:val="00677F98"/>
    <w:rsid w:val="0079416C"/>
    <w:rsid w:val="00846E6E"/>
    <w:rsid w:val="008A25A8"/>
    <w:rsid w:val="00953C1E"/>
    <w:rsid w:val="00957E98"/>
    <w:rsid w:val="009A1EA1"/>
    <w:rsid w:val="009A57CF"/>
    <w:rsid w:val="00A52205"/>
    <w:rsid w:val="00A82A63"/>
    <w:rsid w:val="00A93544"/>
    <w:rsid w:val="00AA0BFA"/>
    <w:rsid w:val="00B45578"/>
    <w:rsid w:val="00BB366D"/>
    <w:rsid w:val="00C15377"/>
    <w:rsid w:val="00CC40E2"/>
    <w:rsid w:val="00D8251E"/>
    <w:rsid w:val="00ED6A5C"/>
    <w:rsid w:val="00EF70FF"/>
    <w:rsid w:val="00F75E56"/>
    <w:rsid w:val="00F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440"/>
      </w:tabs>
    </w:pPr>
    <w:rPr>
      <w:rFonts w:ascii="Courier New" w:hAnsi="Courier New"/>
    </w:rPr>
  </w:style>
  <w:style w:type="paragraph" w:styleId="Footer">
    <w:name w:val="footer"/>
    <w:basedOn w:val="Normal"/>
    <w:pPr>
      <w:tabs>
        <w:tab w:val="center" w:pos="4320"/>
        <w:tab w:val="right" w:pos="9360"/>
      </w:tabs>
    </w:pPr>
    <w:rPr>
      <w:caps/>
      <w:sz w:val="20"/>
    </w:rPr>
  </w:style>
  <w:style w:type="character" w:styleId="PageNumber">
    <w:name w:val="page number"/>
    <w:basedOn w:val="DefaultParagraphFont"/>
  </w:style>
  <w:style w:type="paragraph" w:customStyle="1" w:styleId="SpecHead2">
    <w:name w:val="SpecHead2"/>
    <w:basedOn w:val="Normal"/>
    <w:next w:val="Normal"/>
    <w:rPr>
      <w:b/>
    </w:rPr>
  </w:style>
  <w:style w:type="paragraph" w:styleId="Header">
    <w:name w:val="header"/>
    <w:basedOn w:val="Normal"/>
    <w:link w:val="HeaderChar"/>
    <w:pPr>
      <w:tabs>
        <w:tab w:val="center" w:pos="4320"/>
        <w:tab w:val="center" w:pos="9360"/>
      </w:tabs>
    </w:pPr>
    <w:rPr>
      <w:sz w:val="20"/>
    </w:rPr>
  </w:style>
  <w:style w:type="character" w:customStyle="1" w:styleId="HeaderChar">
    <w:name w:val="Header Char"/>
    <w:link w:val="Header"/>
    <w:rsid w:val="00A82A63"/>
  </w:style>
  <w:style w:type="paragraph" w:styleId="ListBullet">
    <w:name w:val="List Bullet"/>
    <w:basedOn w:val="Normal"/>
    <w:autoRedefine/>
    <w:pPr>
      <w:numPr>
        <w:numId w:val="9"/>
      </w:numPr>
    </w:pPr>
  </w:style>
  <w:style w:type="paragraph" w:customStyle="1" w:styleId="SpecHead1">
    <w:name w:val="SpecHead1"/>
    <w:basedOn w:val="Normal"/>
    <w:pPr>
      <w:spacing w:before="240" w:after="60"/>
      <w:jc w:val="left"/>
    </w:pPr>
    <w:rPr>
      <w:b/>
      <w:caps/>
      <w:u w:val="single"/>
    </w:rPr>
  </w:style>
  <w:style w:type="paragraph" w:customStyle="1" w:styleId="pageno">
    <w:name w:val="pageno"/>
    <w:basedOn w:val="Normal"/>
    <w:next w:val="Normal"/>
    <w:pPr>
      <w:jc w:val="right"/>
    </w:pPr>
    <w:rPr>
      <w:sz w:val="20"/>
    </w:rPr>
  </w:style>
  <w:style w:type="character" w:styleId="CommentReference">
    <w:name w:val="annotation reference"/>
    <w:basedOn w:val="DefaultParagraphFont"/>
    <w:rsid w:val="00C15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53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15377"/>
  </w:style>
  <w:style w:type="paragraph" w:styleId="CommentSubject">
    <w:name w:val="annotation subject"/>
    <w:basedOn w:val="CommentText"/>
    <w:next w:val="CommentText"/>
    <w:link w:val="CommentSubjectChar"/>
    <w:rsid w:val="00C15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5377"/>
    <w:rPr>
      <w:b/>
      <w:bCs/>
    </w:rPr>
  </w:style>
  <w:style w:type="paragraph" w:styleId="BalloonText">
    <w:name w:val="Balloon Text"/>
    <w:basedOn w:val="Normal"/>
    <w:link w:val="BalloonTextChar"/>
    <w:rsid w:val="00C15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440"/>
      </w:tabs>
    </w:pPr>
    <w:rPr>
      <w:rFonts w:ascii="Courier New" w:hAnsi="Courier New"/>
    </w:rPr>
  </w:style>
  <w:style w:type="paragraph" w:styleId="Footer">
    <w:name w:val="footer"/>
    <w:basedOn w:val="Normal"/>
    <w:pPr>
      <w:tabs>
        <w:tab w:val="center" w:pos="4320"/>
        <w:tab w:val="right" w:pos="9360"/>
      </w:tabs>
    </w:pPr>
    <w:rPr>
      <w:caps/>
      <w:sz w:val="20"/>
    </w:rPr>
  </w:style>
  <w:style w:type="character" w:styleId="PageNumber">
    <w:name w:val="page number"/>
    <w:basedOn w:val="DefaultParagraphFont"/>
  </w:style>
  <w:style w:type="paragraph" w:customStyle="1" w:styleId="SpecHead2">
    <w:name w:val="SpecHead2"/>
    <w:basedOn w:val="Normal"/>
    <w:next w:val="Normal"/>
    <w:rPr>
      <w:b/>
    </w:rPr>
  </w:style>
  <w:style w:type="paragraph" w:styleId="Header">
    <w:name w:val="header"/>
    <w:basedOn w:val="Normal"/>
    <w:link w:val="HeaderChar"/>
    <w:pPr>
      <w:tabs>
        <w:tab w:val="center" w:pos="4320"/>
        <w:tab w:val="center" w:pos="9360"/>
      </w:tabs>
    </w:pPr>
    <w:rPr>
      <w:sz w:val="20"/>
    </w:rPr>
  </w:style>
  <w:style w:type="character" w:customStyle="1" w:styleId="HeaderChar">
    <w:name w:val="Header Char"/>
    <w:link w:val="Header"/>
    <w:rsid w:val="00A82A63"/>
  </w:style>
  <w:style w:type="paragraph" w:styleId="ListBullet">
    <w:name w:val="List Bullet"/>
    <w:basedOn w:val="Normal"/>
    <w:autoRedefine/>
    <w:pPr>
      <w:numPr>
        <w:numId w:val="9"/>
      </w:numPr>
    </w:pPr>
  </w:style>
  <w:style w:type="paragraph" w:customStyle="1" w:styleId="SpecHead1">
    <w:name w:val="SpecHead1"/>
    <w:basedOn w:val="Normal"/>
    <w:pPr>
      <w:spacing w:before="240" w:after="60"/>
      <w:jc w:val="left"/>
    </w:pPr>
    <w:rPr>
      <w:b/>
      <w:caps/>
      <w:u w:val="single"/>
    </w:rPr>
  </w:style>
  <w:style w:type="paragraph" w:customStyle="1" w:styleId="pageno">
    <w:name w:val="pageno"/>
    <w:basedOn w:val="Normal"/>
    <w:next w:val="Normal"/>
    <w:pPr>
      <w:jc w:val="right"/>
    </w:pPr>
    <w:rPr>
      <w:sz w:val="20"/>
    </w:rPr>
  </w:style>
  <w:style w:type="character" w:styleId="CommentReference">
    <w:name w:val="annotation reference"/>
    <w:basedOn w:val="DefaultParagraphFont"/>
    <w:rsid w:val="00C15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53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15377"/>
  </w:style>
  <w:style w:type="paragraph" w:styleId="CommentSubject">
    <w:name w:val="annotation subject"/>
    <w:basedOn w:val="CommentText"/>
    <w:next w:val="CommentText"/>
    <w:link w:val="CommentSubjectChar"/>
    <w:rsid w:val="00C15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5377"/>
    <w:rPr>
      <w:b/>
      <w:bCs/>
    </w:rPr>
  </w:style>
  <w:style w:type="paragraph" w:styleId="BalloonText">
    <w:name w:val="Balloon Text"/>
    <w:basedOn w:val="Normal"/>
    <w:link w:val="BalloonTextChar"/>
    <w:rsid w:val="00C15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Special%20Provi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6C19-2A53-4FC2-802F-1186C932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 Provision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ETHICS</vt:lpstr>
    </vt:vector>
  </TitlesOfParts>
  <Company>State of Connecticut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ETHICS</dc:title>
  <dc:creator>swinburnedk</dc:creator>
  <cp:lastModifiedBy>DeSanti, Cory A.</cp:lastModifiedBy>
  <cp:revision>3</cp:revision>
  <cp:lastPrinted>2006-03-02T15:24:00Z</cp:lastPrinted>
  <dcterms:created xsi:type="dcterms:W3CDTF">2018-09-21T11:23:00Z</dcterms:created>
  <dcterms:modified xsi:type="dcterms:W3CDTF">2018-09-21T11:29:00Z</dcterms:modified>
  <cp:category>ContractChecked_02/07/2006</cp:category>
</cp:coreProperties>
</file>