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EF" w:rsidRPr="001C0CEF" w:rsidRDefault="001C0CEF" w:rsidP="001C0CEF">
      <w:pPr>
        <w:pStyle w:val="SpecHead1"/>
        <w:rPr>
          <w:sz w:val="28"/>
          <w:szCs w:val="28"/>
        </w:rPr>
      </w:pPr>
      <w:r w:rsidRPr="001C0CEF">
        <w:rPr>
          <w:sz w:val="28"/>
          <w:szCs w:val="28"/>
        </w:rPr>
        <w:t>ITEM #1</w:t>
      </w:r>
      <w:r w:rsidR="006F49A6">
        <w:rPr>
          <w:sz w:val="28"/>
          <w:szCs w:val="28"/>
        </w:rPr>
        <w:t>130</w:t>
      </w:r>
      <w:r w:rsidR="003B2B14">
        <w:rPr>
          <w:sz w:val="28"/>
          <w:szCs w:val="28"/>
        </w:rPr>
        <w:t>010</w:t>
      </w:r>
      <w:r w:rsidRPr="001C0CEF">
        <w:rPr>
          <w:sz w:val="28"/>
          <w:szCs w:val="28"/>
        </w:rPr>
        <w:t xml:space="preserve">A – </w:t>
      </w:r>
      <w:r w:rsidR="006F49A6">
        <w:rPr>
          <w:sz w:val="28"/>
          <w:szCs w:val="28"/>
        </w:rPr>
        <w:t>arrow board</w:t>
      </w:r>
    </w:p>
    <w:p w:rsidR="004D5194" w:rsidRPr="0071664E" w:rsidRDefault="004D5194" w:rsidP="004D5194">
      <w:pPr>
        <w:spacing w:after="0" w:line="240" w:lineRule="auto"/>
        <w:jc w:val="both"/>
        <w:rPr>
          <w:rFonts w:eastAsia="Times New Roman" w:cs="Times New Roman"/>
        </w:rPr>
      </w:pPr>
    </w:p>
    <w:p w:rsidR="004D5194" w:rsidRPr="00352BB4" w:rsidRDefault="004D5194" w:rsidP="004D5194">
      <w:pPr>
        <w:spacing w:after="0" w:line="240" w:lineRule="auto"/>
        <w:jc w:val="both"/>
        <w:rPr>
          <w:rFonts w:eastAsia="Times New Roman" w:cs="Times New Roman"/>
          <w:sz w:val="24"/>
          <w:szCs w:val="24"/>
        </w:rPr>
      </w:pPr>
      <w:r w:rsidRPr="00352BB4">
        <w:rPr>
          <w:rFonts w:eastAsia="Times New Roman" w:cs="Times New Roman"/>
          <w:sz w:val="24"/>
          <w:szCs w:val="24"/>
        </w:rPr>
        <w:tab/>
      </w:r>
      <w:r w:rsidR="006F49A6" w:rsidRPr="00352BB4">
        <w:rPr>
          <w:rFonts w:eastAsia="Times New Roman" w:cs="Times New Roman"/>
          <w:i/>
          <w:sz w:val="24"/>
          <w:szCs w:val="24"/>
        </w:rPr>
        <w:t>Replace the entire Section 11.30 with the following:</w:t>
      </w:r>
    </w:p>
    <w:p w:rsidR="006F49A6" w:rsidRPr="00352BB4" w:rsidRDefault="006F49A6" w:rsidP="0071664E">
      <w:pPr>
        <w:widowControl w:val="0"/>
        <w:suppressAutoHyphens/>
        <w:autoSpaceDE w:val="0"/>
        <w:autoSpaceDN w:val="0"/>
        <w:adjustRightInd w:val="0"/>
        <w:spacing w:after="0" w:line="240" w:lineRule="auto"/>
        <w:rPr>
          <w:rFonts w:eastAsia="Times New Roman" w:cs="Times New Roman"/>
          <w:b/>
          <w:bCs/>
          <w:sz w:val="24"/>
          <w:szCs w:val="24"/>
        </w:rPr>
      </w:pPr>
      <w:bookmarkStart w:id="0" w:name="_GoBack"/>
      <w:bookmarkEnd w:id="0"/>
    </w:p>
    <w:p w:rsidR="00762C27" w:rsidRPr="00352BB4" w:rsidRDefault="00CA6AA2" w:rsidP="00762C27">
      <w:pPr>
        <w:widowControl w:val="0"/>
        <w:suppressAutoHyphens/>
        <w:autoSpaceDE w:val="0"/>
        <w:autoSpaceDN w:val="0"/>
        <w:adjustRightInd w:val="0"/>
        <w:spacing w:after="100" w:afterAutospacing="1" w:line="240" w:lineRule="auto"/>
        <w:rPr>
          <w:rFonts w:eastAsia="Times New Roman" w:cs="Times New Roman"/>
          <w:sz w:val="24"/>
          <w:szCs w:val="24"/>
        </w:rPr>
      </w:pPr>
      <w:r w:rsidRPr="00CA6AA2">
        <w:rPr>
          <w:rFonts w:eastAsia="Times New Roman" w:cs="Times New Roman"/>
          <w:bCs/>
          <w:sz w:val="24"/>
          <w:szCs w:val="24"/>
        </w:rPr>
        <w:t xml:space="preserve">  </w:t>
      </w:r>
      <w:r w:rsidR="00762C27" w:rsidRPr="00352BB4">
        <w:rPr>
          <w:rFonts w:eastAsia="Times New Roman" w:cs="Times New Roman"/>
          <w:b/>
          <w:bCs/>
          <w:sz w:val="24"/>
          <w:szCs w:val="24"/>
        </w:rPr>
        <w:t>11.30.01—Description:</w:t>
      </w:r>
      <w:r w:rsidR="00762C27" w:rsidRPr="00352BB4">
        <w:rPr>
          <w:rFonts w:eastAsia="Times New Roman" w:cs="Times New Roman"/>
          <w:sz w:val="24"/>
          <w:szCs w:val="24"/>
        </w:rPr>
        <w:t xml:space="preserve">  Work under this item shall include furnishing and maintaining a trailer-mounted or truck-mounted Arrow Boards at the locations indicated on the plans or as directed by the Engineer.</w:t>
      </w:r>
    </w:p>
    <w:p w:rsidR="00762C27" w:rsidRPr="00352BB4" w:rsidRDefault="00762C27" w:rsidP="00762C27">
      <w:pPr>
        <w:widowControl w:val="0"/>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 xml:space="preserve">  </w:t>
      </w:r>
      <w:r w:rsidRPr="00352BB4">
        <w:rPr>
          <w:rFonts w:eastAsia="Times New Roman" w:cs="Times New Roman"/>
          <w:b/>
          <w:bCs/>
          <w:sz w:val="24"/>
          <w:szCs w:val="24"/>
        </w:rPr>
        <w:t>11.30.02—Materials:</w:t>
      </w:r>
      <w:r w:rsidRPr="00352BB4">
        <w:rPr>
          <w:rFonts w:eastAsia="Times New Roman" w:cs="Times New Roman"/>
          <w:sz w:val="24"/>
          <w:szCs w:val="24"/>
        </w:rPr>
        <w:t xml:space="preserve">  A Materials Certificate for the Arrow Board shall be submitted to the Engineer.  The Arrow Board shall meet the requirements of Type C Arrow Board in MUTCD Chapter 6F, and the following:</w:t>
      </w:r>
    </w:p>
    <w:p w:rsidR="00762C27" w:rsidRPr="00352BB4" w:rsidRDefault="00762C27" w:rsidP="00762C27">
      <w:pPr>
        <w:widowControl w:val="0"/>
        <w:numPr>
          <w:ilvl w:val="0"/>
          <w:numId w:val="1"/>
        </w:numPr>
        <w:suppressAutoHyphens/>
        <w:autoSpaceDE w:val="0"/>
        <w:autoSpaceDN w:val="0"/>
        <w:adjustRightInd w:val="0"/>
        <w:spacing w:after="0" w:line="240" w:lineRule="auto"/>
        <w:rPr>
          <w:rFonts w:eastAsia="Times New Roman" w:cs="Times New Roman"/>
          <w:b/>
          <w:sz w:val="24"/>
          <w:szCs w:val="24"/>
        </w:rPr>
      </w:pPr>
      <w:r w:rsidRPr="00352BB4">
        <w:rPr>
          <w:rFonts w:eastAsia="Times New Roman" w:cs="Times New Roman"/>
          <w:b/>
          <w:sz w:val="24"/>
          <w:szCs w:val="24"/>
        </w:rPr>
        <w:t>Physical Characteristics of the Arrow Board:</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Arrow Board Display Dimensions - width 8 feet, height 4 feet</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Height above Roadway - Minimum 7 feet from the roadway to the bottom of the display, except on truck-mounted Arrow Boards, which shall be as high as practical</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Power Source - Battery or solar power, including backup</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Secure Controller – Arrow Boards shall be equipped with a lockable cabinet for controller storage</w:t>
      </w:r>
    </w:p>
    <w:p w:rsidR="00762C27" w:rsidRPr="00352BB4" w:rsidRDefault="00762C27" w:rsidP="00762C27">
      <w:pPr>
        <w:widowControl w:val="0"/>
        <w:numPr>
          <w:ilvl w:val="0"/>
          <w:numId w:val="1"/>
        </w:numPr>
        <w:suppressAutoHyphens/>
        <w:autoSpaceDE w:val="0"/>
        <w:autoSpaceDN w:val="0"/>
        <w:adjustRightInd w:val="0"/>
        <w:spacing w:after="0" w:line="240" w:lineRule="auto"/>
        <w:rPr>
          <w:rFonts w:eastAsia="Times New Roman" w:cs="Times New Roman"/>
          <w:b/>
          <w:sz w:val="24"/>
          <w:szCs w:val="24"/>
        </w:rPr>
      </w:pPr>
      <w:r w:rsidRPr="00352BB4">
        <w:rPr>
          <w:rFonts w:eastAsia="Times New Roman" w:cs="Times New Roman"/>
          <w:b/>
          <w:sz w:val="24"/>
          <w:szCs w:val="24"/>
        </w:rPr>
        <w:t>Visual Characteristics of the Arrow Board:</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Matrix - Minimum of 15 illuminated elements</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Display Modes - flashing arrow, flashing double arrow, flashing caution, and flashing alternating diamond caution</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Color - Non-reflective black background with yellow or amber elements</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Flash Rate - 25 to 40 flashes per minute</w:t>
      </w:r>
    </w:p>
    <w:p w:rsidR="00762C27" w:rsidRPr="00352BB4" w:rsidRDefault="00762C27" w:rsidP="00762C27">
      <w:pPr>
        <w:widowControl w:val="0"/>
        <w:numPr>
          <w:ilvl w:val="1"/>
          <w:numId w:val="1"/>
        </w:numPr>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Dimming - Arrow Board shall be equipped with a photocell for automatic sign dimming, with at least 50% from full brilliance, based on lighting conditions</w:t>
      </w:r>
    </w:p>
    <w:p w:rsidR="00762C27" w:rsidRPr="00352BB4" w:rsidRDefault="00762C27" w:rsidP="00762C27">
      <w:pPr>
        <w:widowControl w:val="0"/>
        <w:numPr>
          <w:ilvl w:val="1"/>
          <w:numId w:val="1"/>
        </w:numPr>
        <w:suppressAutoHyphens/>
        <w:autoSpaceDE w:val="0"/>
        <w:autoSpaceDN w:val="0"/>
        <w:adjustRightInd w:val="0"/>
        <w:spacing w:after="100" w:afterAutospacing="1" w:line="240" w:lineRule="auto"/>
        <w:rPr>
          <w:rFonts w:eastAsia="Times New Roman" w:cs="Times New Roman"/>
          <w:sz w:val="24"/>
          <w:szCs w:val="24"/>
        </w:rPr>
      </w:pPr>
      <w:r w:rsidRPr="00352BB4">
        <w:rPr>
          <w:rFonts w:eastAsia="Times New Roman" w:cs="Times New Roman"/>
          <w:sz w:val="24"/>
          <w:szCs w:val="24"/>
        </w:rPr>
        <w:t>Legibility - Arrow Board brightness must provide for legibility within 1 mile</w:t>
      </w:r>
    </w:p>
    <w:p w:rsidR="00762C27" w:rsidRPr="00352BB4" w:rsidRDefault="00762C27" w:rsidP="00762C27">
      <w:pPr>
        <w:widowControl w:val="0"/>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 xml:space="preserve">  </w:t>
      </w:r>
      <w:r w:rsidRPr="00352BB4">
        <w:rPr>
          <w:rFonts w:eastAsia="Times New Roman" w:cs="Times New Roman"/>
          <w:b/>
          <w:bCs/>
          <w:sz w:val="24"/>
          <w:szCs w:val="24"/>
        </w:rPr>
        <w:t>11.30.03—Construction Methods:</w:t>
      </w:r>
      <w:r w:rsidRPr="00352BB4">
        <w:rPr>
          <w:rFonts w:eastAsia="Times New Roman" w:cs="Times New Roman"/>
          <w:sz w:val="24"/>
          <w:szCs w:val="24"/>
        </w:rPr>
        <w:t xml:space="preserve">  The Contractor shall furnish, place, operate, and relocate the Arrow Board as required on the plans or as directed by the Engineer, in accordance with Chapter 6F of the MUTCD.</w:t>
      </w:r>
    </w:p>
    <w:p w:rsidR="00762C27" w:rsidRPr="00352BB4" w:rsidRDefault="00762C27" w:rsidP="00762C27">
      <w:pPr>
        <w:widowControl w:val="0"/>
        <w:suppressAutoHyphens/>
        <w:autoSpaceDE w:val="0"/>
        <w:autoSpaceDN w:val="0"/>
        <w:adjustRightInd w:val="0"/>
        <w:spacing w:after="0" w:line="240" w:lineRule="auto"/>
        <w:rPr>
          <w:rFonts w:eastAsia="Times New Roman" w:cs="Times New Roman"/>
          <w:sz w:val="24"/>
          <w:szCs w:val="24"/>
        </w:rPr>
      </w:pPr>
      <w:r w:rsidRPr="00352BB4">
        <w:rPr>
          <w:rFonts w:eastAsia="Times New Roman" w:cs="Times New Roman"/>
          <w:sz w:val="24"/>
          <w:szCs w:val="24"/>
        </w:rPr>
        <w:t xml:space="preserve">  The Contractor shall maintain the Arrow Board in accordance with the ATSSA "Quality Standards for Temporary Traffic Control Devices and Features."  Any Arrow Board that does not meet these guidelines shall be removed and replaced.</w:t>
      </w:r>
    </w:p>
    <w:p w:rsidR="00762C27" w:rsidRPr="00352BB4" w:rsidRDefault="00762C27" w:rsidP="00762C27">
      <w:pPr>
        <w:widowControl w:val="0"/>
        <w:suppressAutoHyphens/>
        <w:autoSpaceDE w:val="0"/>
        <w:autoSpaceDN w:val="0"/>
        <w:adjustRightInd w:val="0"/>
        <w:spacing w:after="100" w:afterAutospacing="1" w:line="240" w:lineRule="auto"/>
        <w:rPr>
          <w:rFonts w:eastAsia="Times New Roman" w:cs="Times New Roman"/>
          <w:sz w:val="24"/>
          <w:szCs w:val="24"/>
        </w:rPr>
      </w:pPr>
      <w:r w:rsidRPr="00352BB4">
        <w:rPr>
          <w:rFonts w:eastAsia="Times New Roman" w:cs="Times New Roman"/>
          <w:sz w:val="24"/>
          <w:szCs w:val="24"/>
        </w:rPr>
        <w:t xml:space="preserve">  When the Arrow Board is no longer required, it shall be removed from the Site.</w:t>
      </w:r>
    </w:p>
    <w:p w:rsidR="00762C27" w:rsidRPr="00352BB4" w:rsidRDefault="00762C27" w:rsidP="00762C27">
      <w:pPr>
        <w:widowControl w:val="0"/>
        <w:suppressAutoHyphens/>
        <w:autoSpaceDE w:val="0"/>
        <w:autoSpaceDN w:val="0"/>
        <w:adjustRightInd w:val="0"/>
        <w:spacing w:after="100" w:afterAutospacing="1" w:line="240" w:lineRule="auto"/>
        <w:rPr>
          <w:rFonts w:eastAsia="Times New Roman" w:cs="Times New Roman"/>
          <w:sz w:val="24"/>
          <w:szCs w:val="24"/>
        </w:rPr>
      </w:pPr>
      <w:r w:rsidRPr="00352BB4">
        <w:rPr>
          <w:rFonts w:eastAsia="Times New Roman" w:cs="Times New Roman"/>
          <w:sz w:val="24"/>
          <w:szCs w:val="24"/>
        </w:rPr>
        <w:t xml:space="preserve">  </w:t>
      </w:r>
      <w:r w:rsidRPr="00352BB4">
        <w:rPr>
          <w:rFonts w:eastAsia="Times New Roman" w:cs="Times New Roman"/>
          <w:b/>
          <w:bCs/>
          <w:sz w:val="24"/>
          <w:szCs w:val="24"/>
        </w:rPr>
        <w:t>11.30.04—Method of Measurement:</w:t>
      </w:r>
      <w:r w:rsidRPr="00352BB4">
        <w:rPr>
          <w:rFonts w:eastAsia="Times New Roman" w:cs="Times New Roman"/>
          <w:sz w:val="24"/>
          <w:szCs w:val="24"/>
        </w:rPr>
        <w:t xml:space="preserve">  This work will be measured for payment by the number </w:t>
      </w:r>
      <w:proofErr w:type="gramStart"/>
      <w:r w:rsidRPr="00352BB4">
        <w:rPr>
          <w:rFonts w:eastAsia="Times New Roman" w:cs="Times New Roman"/>
          <w:sz w:val="24"/>
          <w:szCs w:val="24"/>
        </w:rPr>
        <w:t>of</w:t>
      </w:r>
      <w:proofErr w:type="gramEnd"/>
      <w:r w:rsidRPr="00352BB4">
        <w:rPr>
          <w:rFonts w:eastAsia="Times New Roman" w:cs="Times New Roman"/>
          <w:sz w:val="24"/>
          <w:szCs w:val="24"/>
        </w:rPr>
        <w:t xml:space="preserve"> calendar days that the Arrow Board is in place and in operation.  When an Arrow Board is in operation for less than a day, such a period of time shall be considered to be a full day regardless of actual time in operation.</w:t>
      </w:r>
    </w:p>
    <w:p w:rsidR="006F49A6" w:rsidRPr="00352BB4" w:rsidRDefault="00762C27" w:rsidP="00CA6AA2">
      <w:pPr>
        <w:widowControl w:val="0"/>
        <w:tabs>
          <w:tab w:val="center" w:pos="5400"/>
        </w:tabs>
        <w:suppressAutoHyphens/>
        <w:autoSpaceDE w:val="0"/>
        <w:autoSpaceDN w:val="0"/>
        <w:adjustRightInd w:val="0"/>
        <w:spacing w:after="0" w:line="240" w:lineRule="exact"/>
        <w:rPr>
          <w:rFonts w:eastAsia="Times New Roman" w:cs="Times New Roman"/>
          <w:sz w:val="24"/>
          <w:szCs w:val="24"/>
        </w:rPr>
      </w:pPr>
      <w:r w:rsidRPr="00352BB4">
        <w:rPr>
          <w:rFonts w:eastAsia="Times New Roman" w:cs="Times New Roman"/>
          <w:sz w:val="24"/>
          <w:szCs w:val="24"/>
        </w:rPr>
        <w:t xml:space="preserve">  </w:t>
      </w:r>
      <w:r w:rsidRPr="00352BB4">
        <w:rPr>
          <w:rFonts w:eastAsia="Times New Roman" w:cs="Times New Roman"/>
          <w:b/>
          <w:bCs/>
          <w:sz w:val="24"/>
          <w:szCs w:val="24"/>
        </w:rPr>
        <w:t>11.30.05—Basis of Payment:</w:t>
      </w:r>
      <w:r w:rsidRPr="00352BB4">
        <w:rPr>
          <w:rFonts w:eastAsia="Times New Roman" w:cs="Times New Roman"/>
          <w:sz w:val="24"/>
          <w:szCs w:val="24"/>
        </w:rPr>
        <w:t xml:space="preserve">  This work will be paid for at the Contract unit price per day for "Arrow Board</w:t>
      </w:r>
      <w:r w:rsidR="00CA6AA2">
        <w:rPr>
          <w:rFonts w:eastAsia="Times New Roman" w:cs="Times New Roman"/>
          <w:sz w:val="24"/>
          <w:szCs w:val="24"/>
        </w:rPr>
        <w:t>”</w:t>
      </w:r>
      <w:r w:rsidRPr="00352BB4">
        <w:rPr>
          <w:rFonts w:eastAsia="Times New Roman" w:cs="Times New Roman"/>
          <w:sz w:val="24"/>
          <w:szCs w:val="24"/>
        </w:rPr>
        <w:t xml:space="preserve">, which shall include furnishing, placing, operating, maintaining, relocating, </w:t>
      </w:r>
      <w:r w:rsidRPr="00352BB4">
        <w:rPr>
          <w:rFonts w:eastAsia="Times New Roman" w:cs="Times New Roman"/>
          <w:sz w:val="24"/>
          <w:szCs w:val="24"/>
        </w:rPr>
        <w:lastRenderedPageBreak/>
        <w:t>removing the Arrow Bo</w:t>
      </w:r>
      <w:r w:rsidR="00CA6AA2">
        <w:rPr>
          <w:rFonts w:eastAsia="Times New Roman" w:cs="Times New Roman"/>
          <w:sz w:val="24"/>
          <w:szCs w:val="24"/>
        </w:rPr>
        <w:t xml:space="preserve">ard and its appurtenances, and </w:t>
      </w:r>
      <w:r w:rsidRPr="00352BB4">
        <w:rPr>
          <w:rFonts w:eastAsia="Times New Roman" w:cs="Times New Roman"/>
          <w:sz w:val="24"/>
          <w:szCs w:val="24"/>
        </w:rPr>
        <w:t>all material, labor, tools and equipment incidental thereto.</w:t>
      </w:r>
    </w:p>
    <w:p w:rsidR="00762C27" w:rsidRPr="00352BB4" w:rsidRDefault="00762C27" w:rsidP="00762C27">
      <w:pPr>
        <w:widowControl w:val="0"/>
        <w:tabs>
          <w:tab w:val="center" w:pos="5400"/>
        </w:tabs>
        <w:suppressAutoHyphens/>
        <w:autoSpaceDE w:val="0"/>
        <w:autoSpaceDN w:val="0"/>
        <w:adjustRightInd w:val="0"/>
        <w:spacing w:after="0" w:line="240" w:lineRule="exact"/>
        <w:ind w:firstLine="360"/>
        <w:rPr>
          <w:rFonts w:eastAsia="Times New Roman" w:cs="Times New Roman"/>
          <w:sz w:val="24"/>
          <w:szCs w:val="24"/>
        </w:rPr>
      </w:pPr>
    </w:p>
    <w:p w:rsidR="006F49A6" w:rsidRPr="00352BB4" w:rsidRDefault="006F49A6" w:rsidP="006F49A6">
      <w:pPr>
        <w:widowControl w:val="0"/>
        <w:tabs>
          <w:tab w:val="center" w:pos="5400"/>
        </w:tabs>
        <w:suppressAutoHyphens/>
        <w:autoSpaceDE w:val="0"/>
        <w:autoSpaceDN w:val="0"/>
        <w:adjustRightInd w:val="0"/>
        <w:spacing w:after="0" w:line="240" w:lineRule="exact"/>
        <w:ind w:firstLine="360"/>
        <w:rPr>
          <w:rFonts w:eastAsia="Times New Roman" w:cs="Times New Roman"/>
          <w:sz w:val="24"/>
          <w:szCs w:val="24"/>
        </w:rPr>
      </w:pPr>
      <w:r w:rsidRPr="00352BB4">
        <w:rPr>
          <w:rFonts w:eastAsia="Times New Roman" w:cs="Times New Roman"/>
          <w:sz w:val="24"/>
          <w:szCs w:val="24"/>
        </w:rPr>
        <w:t xml:space="preserve"> Pay Item</w:t>
      </w:r>
      <w:r w:rsidRPr="00352BB4">
        <w:rPr>
          <w:rFonts w:eastAsia="Times New Roman" w:cs="Times New Roman"/>
          <w:sz w:val="24"/>
          <w:szCs w:val="24"/>
        </w:rPr>
        <w:tab/>
        <w:t>Pay Unit</w:t>
      </w:r>
    </w:p>
    <w:p w:rsidR="001E0A9A" w:rsidRPr="00352BB4" w:rsidRDefault="006F49A6" w:rsidP="00762C27">
      <w:pPr>
        <w:widowControl w:val="0"/>
        <w:tabs>
          <w:tab w:val="center" w:pos="5400"/>
        </w:tabs>
        <w:suppressAutoHyphens/>
        <w:autoSpaceDE w:val="0"/>
        <w:autoSpaceDN w:val="0"/>
        <w:adjustRightInd w:val="0"/>
        <w:spacing w:after="0" w:line="240" w:lineRule="auto"/>
        <w:ind w:firstLine="360"/>
        <w:rPr>
          <w:sz w:val="24"/>
          <w:szCs w:val="24"/>
        </w:rPr>
      </w:pPr>
      <w:r w:rsidRPr="00352BB4">
        <w:rPr>
          <w:rFonts w:eastAsia="Times New Roman" w:cs="Times New Roman"/>
          <w:sz w:val="24"/>
          <w:szCs w:val="24"/>
        </w:rPr>
        <w:t>Arrow Board</w:t>
      </w:r>
      <w:r w:rsidRPr="00352BB4">
        <w:rPr>
          <w:rFonts w:eastAsia="Times New Roman" w:cs="Times New Roman"/>
          <w:sz w:val="24"/>
          <w:szCs w:val="24"/>
        </w:rPr>
        <w:tab/>
        <w:t>day</w:t>
      </w:r>
      <w:r w:rsidRPr="00352BB4">
        <w:rPr>
          <w:sz w:val="24"/>
          <w:szCs w:val="24"/>
        </w:rPr>
        <w:tab/>
      </w:r>
    </w:p>
    <w:sectPr w:rsidR="001E0A9A" w:rsidRPr="00352BB4" w:rsidSect="004D5194">
      <w:headerReference w:type="default" r:id="rId7"/>
      <w:footerReference w:type="default" r:id="rId8"/>
      <w:pgSz w:w="12240" w:h="15840"/>
      <w:pgMar w:top="2160" w:right="1440" w:bottom="1080" w:left="144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94" w:rsidRDefault="004D5194" w:rsidP="004D5194">
      <w:pPr>
        <w:spacing w:after="0" w:line="240" w:lineRule="auto"/>
      </w:pPr>
      <w:r>
        <w:separator/>
      </w:r>
    </w:p>
  </w:endnote>
  <w:endnote w:type="continuationSeparator" w:id="0">
    <w:p w:rsidR="004D5194" w:rsidRDefault="004D5194" w:rsidP="004D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94" w:rsidRDefault="004D5194" w:rsidP="004D5194">
    <w:pPr>
      <w:tabs>
        <w:tab w:val="center" w:pos="4320"/>
        <w:tab w:val="right" w:pos="9360"/>
      </w:tabs>
      <w:spacing w:after="0" w:line="240" w:lineRule="auto"/>
      <w:jc w:val="right"/>
      <w:rPr>
        <w:rFonts w:eastAsia="Times New Roman" w:cs="Times New Roman"/>
        <w:caps/>
        <w:sz w:val="20"/>
        <w:szCs w:val="20"/>
      </w:rPr>
    </w:pPr>
    <w:r w:rsidRPr="004D5194">
      <w:rPr>
        <w:rFonts w:eastAsia="Times New Roman" w:cs="Times New Roman"/>
        <w:caps/>
        <w:sz w:val="20"/>
        <w:szCs w:val="20"/>
      </w:rPr>
      <w:fldChar w:fldCharType="begin"/>
    </w:r>
    <w:r w:rsidRPr="004D5194">
      <w:rPr>
        <w:rFonts w:eastAsia="Times New Roman" w:cs="Times New Roman"/>
        <w:caps/>
        <w:sz w:val="20"/>
        <w:szCs w:val="20"/>
      </w:rPr>
      <w:instrText xml:space="preserve"> COMMENTS  \* MERGEFORMAT </w:instrText>
    </w:r>
    <w:r w:rsidRPr="004D5194">
      <w:rPr>
        <w:rFonts w:eastAsia="Times New Roman" w:cs="Times New Roman"/>
        <w:caps/>
        <w:sz w:val="20"/>
        <w:szCs w:val="20"/>
      </w:rPr>
      <w:fldChar w:fldCharType="end"/>
    </w:r>
    <w:r w:rsidRPr="004D5194">
      <w:rPr>
        <w:rFonts w:eastAsia="Times New Roman" w:cs="Times New Roman"/>
        <w:caps/>
        <w:sz w:val="20"/>
        <w:szCs w:val="20"/>
      </w:rPr>
      <w:t>item #1</w:t>
    </w:r>
    <w:r w:rsidR="006F49A6">
      <w:rPr>
        <w:rFonts w:eastAsia="Times New Roman" w:cs="Times New Roman"/>
        <w:caps/>
        <w:sz w:val="20"/>
        <w:szCs w:val="20"/>
      </w:rPr>
      <w:t>130</w:t>
    </w:r>
    <w:r w:rsidR="003B2B14">
      <w:rPr>
        <w:rFonts w:eastAsia="Times New Roman" w:cs="Times New Roman"/>
        <w:caps/>
        <w:sz w:val="20"/>
        <w:szCs w:val="20"/>
      </w:rPr>
      <w:t>010</w:t>
    </w:r>
    <w:r w:rsidRPr="004D5194">
      <w:rPr>
        <w:rFonts w:eastAsia="Times New Roman" w:cs="Times New Roman"/>
        <w:caps/>
        <w:sz w:val="20"/>
        <w:szCs w:val="20"/>
      </w:rPr>
      <w:t>a</w:t>
    </w:r>
  </w:p>
  <w:p w:rsidR="004D5194" w:rsidRDefault="004D5194" w:rsidP="004B0A3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94" w:rsidRDefault="004D5194" w:rsidP="004D5194">
      <w:pPr>
        <w:spacing w:after="0" w:line="240" w:lineRule="auto"/>
      </w:pPr>
      <w:r>
        <w:separator/>
      </w:r>
    </w:p>
  </w:footnote>
  <w:footnote w:type="continuationSeparator" w:id="0">
    <w:p w:rsidR="004D5194" w:rsidRDefault="004D5194" w:rsidP="004D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94" w:rsidRDefault="006F49A6" w:rsidP="006F49A6">
    <w:pPr>
      <w:pStyle w:val="Header"/>
      <w:jc w:val="right"/>
    </w:pPr>
    <w:r w:rsidRPr="006F49A6">
      <w:rPr>
        <w:rFonts w:eastAsia="Times New Roman" w:cs="Times New Roman"/>
        <w:sz w:val="20"/>
        <w:szCs w:val="20"/>
      </w:rPr>
      <w:t xml:space="preserve">Rev. Date </w:t>
    </w:r>
    <w:r>
      <w:rPr>
        <w:rFonts w:eastAsia="Times New Roman" w:cs="Times New Roman"/>
        <w:sz w:val="20"/>
        <w:szCs w:val="20"/>
      </w:rPr>
      <w:t>10/</w:t>
    </w:r>
    <w:r w:rsidR="00CD1650">
      <w:rPr>
        <w:rFonts w:eastAsia="Times New Roman" w:cs="Times New Roman"/>
        <w:sz w:val="20"/>
        <w:szCs w:val="20"/>
      </w:rPr>
      <w:t>22</w:t>
    </w:r>
    <w:r>
      <w:rPr>
        <w:rFonts w:eastAsia="Times New Roman" w:cs="Times New Roman"/>
        <w:sz w:val="20"/>
        <w:szCs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E5BD3"/>
    <w:multiLevelType w:val="hybridMultilevel"/>
    <w:tmpl w:val="EE944784"/>
    <w:lvl w:ilvl="0" w:tplc="9E6E6F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38"/>
    <w:rsid w:val="001834FC"/>
    <w:rsid w:val="001C0CEF"/>
    <w:rsid w:val="00352BB4"/>
    <w:rsid w:val="003B2B14"/>
    <w:rsid w:val="004316CC"/>
    <w:rsid w:val="004B0A3E"/>
    <w:rsid w:val="004D5194"/>
    <w:rsid w:val="00577658"/>
    <w:rsid w:val="005B0714"/>
    <w:rsid w:val="00686D37"/>
    <w:rsid w:val="006F49A6"/>
    <w:rsid w:val="007068FA"/>
    <w:rsid w:val="0071664E"/>
    <w:rsid w:val="00762C27"/>
    <w:rsid w:val="00C76E38"/>
    <w:rsid w:val="00CA6AA2"/>
    <w:rsid w:val="00CD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38E35"/>
  <w15:docId w15:val="{762E148A-FCAE-4CE9-B7BF-6FA7520E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3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194"/>
  </w:style>
  <w:style w:type="paragraph" w:styleId="Footer">
    <w:name w:val="footer"/>
    <w:basedOn w:val="Normal"/>
    <w:link w:val="FooterChar"/>
    <w:uiPriority w:val="99"/>
    <w:unhideWhenUsed/>
    <w:rsid w:val="004D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194"/>
  </w:style>
  <w:style w:type="paragraph" w:customStyle="1" w:styleId="SpecHead1">
    <w:name w:val="SpecHead1"/>
    <w:basedOn w:val="Normal"/>
    <w:rsid w:val="004D5194"/>
    <w:pPr>
      <w:spacing w:before="240" w:after="60" w:line="240" w:lineRule="auto"/>
      <w:jc w:val="both"/>
    </w:pPr>
    <w:rPr>
      <w:rFonts w:eastAsia="Times New Roman" w:cs="Times New Roman"/>
      <w:b/>
      <w: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Mermelstein, Anna S.</dc:creator>
  <cp:lastModifiedBy>Mermelstein, Anna S.</cp:lastModifiedBy>
  <cp:revision>11</cp:revision>
  <dcterms:created xsi:type="dcterms:W3CDTF">2019-10-04T19:06:00Z</dcterms:created>
  <dcterms:modified xsi:type="dcterms:W3CDTF">2019-10-22T14:35:00Z</dcterms:modified>
</cp:coreProperties>
</file>