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51" w:rsidRPr="00D21C01" w:rsidRDefault="00477C51" w:rsidP="00477C51">
      <w:pPr>
        <w:pStyle w:val="SpecHead1"/>
        <w:rPr>
          <w:sz w:val="28"/>
          <w:szCs w:val="28"/>
        </w:rPr>
      </w:pPr>
      <w:r w:rsidRPr="00D21C01">
        <w:rPr>
          <w:sz w:val="28"/>
          <w:szCs w:val="28"/>
        </w:rPr>
        <w:t>item #1112</w:t>
      </w:r>
      <w:r w:rsidR="007379C2" w:rsidRPr="00D21C01">
        <w:rPr>
          <w:sz w:val="28"/>
          <w:szCs w:val="28"/>
        </w:rPr>
        <w:t>285</w:t>
      </w:r>
      <w:r w:rsidRPr="00D21C01">
        <w:rPr>
          <w:sz w:val="28"/>
          <w:szCs w:val="28"/>
        </w:rPr>
        <w:t xml:space="preserve">A – </w:t>
      </w:r>
      <w:r w:rsidR="00F45CF9" w:rsidRPr="00D21C01">
        <w:rPr>
          <w:sz w:val="28"/>
          <w:szCs w:val="28"/>
        </w:rPr>
        <w:t xml:space="preserve">thermal </w:t>
      </w:r>
      <w:r w:rsidR="00E55304" w:rsidRPr="00D21C01">
        <w:rPr>
          <w:sz w:val="28"/>
          <w:szCs w:val="28"/>
        </w:rPr>
        <w:t xml:space="preserve">VIDEO </w:t>
      </w:r>
      <w:r w:rsidR="00F45CF9" w:rsidRPr="00D21C01">
        <w:rPr>
          <w:sz w:val="28"/>
          <w:szCs w:val="28"/>
        </w:rPr>
        <w:t xml:space="preserve">Detector </w:t>
      </w:r>
      <w:r w:rsidRPr="00D21C01">
        <w:rPr>
          <w:sz w:val="28"/>
          <w:szCs w:val="28"/>
        </w:rPr>
        <w:t>assembly</w:t>
      </w:r>
    </w:p>
    <w:p w:rsidR="00477C51" w:rsidRPr="00D21C01" w:rsidRDefault="00477C51" w:rsidP="00477C51">
      <w:pPr>
        <w:rPr>
          <w:b/>
          <w:u w:val="single"/>
        </w:rPr>
      </w:pPr>
    </w:p>
    <w:p w:rsidR="00477C51" w:rsidRPr="00D21C01" w:rsidRDefault="00477C51" w:rsidP="00477C51">
      <w:pPr>
        <w:pStyle w:val="SpecHead2"/>
      </w:pPr>
      <w:r w:rsidRPr="00D21C01">
        <w:t>Description:</w:t>
      </w:r>
    </w:p>
    <w:p w:rsidR="00477C51" w:rsidRPr="00D21C01" w:rsidRDefault="00477C51" w:rsidP="00477C51">
      <w:pPr>
        <w:pStyle w:val="BodyText"/>
        <w:tabs>
          <w:tab w:val="clear" w:pos="1440"/>
          <w:tab w:val="left" w:pos="540"/>
        </w:tabs>
        <w:rPr>
          <w:rFonts w:ascii="Times New Roman" w:hAnsi="Times New Roman"/>
        </w:rPr>
      </w:pPr>
      <w:r w:rsidRPr="00D21C01">
        <w:rPr>
          <w:rFonts w:ascii="Times New Roman" w:hAnsi="Times New Roman"/>
        </w:rPr>
        <w:tab/>
        <w:t xml:space="preserve">Furnish and install a </w:t>
      </w:r>
      <w:r w:rsidR="00F45CF9" w:rsidRPr="00D21C01">
        <w:rPr>
          <w:rFonts w:ascii="Times New Roman" w:hAnsi="Times New Roman"/>
        </w:rPr>
        <w:t xml:space="preserve">Thermal </w:t>
      </w:r>
      <w:r w:rsidR="00E55304" w:rsidRPr="00D21C01">
        <w:rPr>
          <w:rFonts w:ascii="Times New Roman" w:hAnsi="Times New Roman"/>
        </w:rPr>
        <w:t>Video</w:t>
      </w:r>
      <w:r w:rsidR="007B32FD" w:rsidRPr="00D21C01">
        <w:rPr>
          <w:rFonts w:ascii="Times New Roman" w:hAnsi="Times New Roman"/>
        </w:rPr>
        <w:t xml:space="preserve"> </w:t>
      </w:r>
      <w:r w:rsidR="000C2BA4" w:rsidRPr="00D21C01">
        <w:rPr>
          <w:rFonts w:ascii="Times New Roman" w:hAnsi="Times New Roman"/>
        </w:rPr>
        <w:t>Detector</w:t>
      </w:r>
      <w:r w:rsidRPr="00D21C01">
        <w:rPr>
          <w:rFonts w:ascii="Times New Roman" w:hAnsi="Times New Roman"/>
        </w:rPr>
        <w:t xml:space="preserve"> </w:t>
      </w:r>
      <w:r w:rsidR="000C2BA4" w:rsidRPr="00D21C01">
        <w:rPr>
          <w:rFonts w:ascii="Times New Roman" w:hAnsi="Times New Roman"/>
        </w:rPr>
        <w:t xml:space="preserve">Assembly </w:t>
      </w:r>
      <w:r w:rsidRPr="00D21C01">
        <w:rPr>
          <w:rFonts w:ascii="Times New Roman" w:hAnsi="Times New Roman"/>
        </w:rPr>
        <w:t>(</w:t>
      </w:r>
      <w:r w:rsidR="00F45CF9" w:rsidRPr="00D21C01">
        <w:rPr>
          <w:rFonts w:ascii="Times New Roman" w:hAnsi="Times New Roman"/>
        </w:rPr>
        <w:t>T</w:t>
      </w:r>
      <w:r w:rsidR="00E55304" w:rsidRPr="00D21C01">
        <w:rPr>
          <w:rFonts w:ascii="Times New Roman" w:hAnsi="Times New Roman"/>
        </w:rPr>
        <w:t>V</w:t>
      </w:r>
      <w:r w:rsidR="000C2BA4" w:rsidRPr="00D21C01">
        <w:rPr>
          <w:rFonts w:ascii="Times New Roman" w:hAnsi="Times New Roman"/>
        </w:rPr>
        <w:t>DA)</w:t>
      </w:r>
      <w:r w:rsidRPr="00D21C01">
        <w:rPr>
          <w:rFonts w:ascii="Times New Roman" w:hAnsi="Times New Roman"/>
        </w:rPr>
        <w:t xml:space="preserve"> as shown on the plans or as directed by the Engineer. </w:t>
      </w:r>
    </w:p>
    <w:p w:rsidR="00477C51" w:rsidRPr="00D21C01" w:rsidRDefault="00477C51" w:rsidP="00477C51"/>
    <w:p w:rsidR="00477C51" w:rsidRPr="00D21C01" w:rsidRDefault="00477C51" w:rsidP="00477C51">
      <w:pPr>
        <w:pStyle w:val="SpecHead2"/>
      </w:pPr>
      <w:r w:rsidRPr="00D21C01">
        <w:t>Materials:</w:t>
      </w:r>
    </w:p>
    <w:p w:rsidR="00477C51" w:rsidRPr="00D21C01" w:rsidRDefault="00477C51" w:rsidP="00477C51">
      <w:pPr>
        <w:pStyle w:val="BodyText"/>
        <w:rPr>
          <w:rFonts w:ascii="Times New Roman" w:hAnsi="Times New Roman"/>
        </w:rPr>
      </w:pPr>
      <w:r w:rsidRPr="00D21C01">
        <w:rPr>
          <w:rFonts w:ascii="Times New Roman" w:hAnsi="Times New Roman"/>
        </w:rPr>
        <w:t xml:space="preserve">          All hardware shall be new, corrosion resistant. All equipment shall be current production. </w:t>
      </w:r>
    </w:p>
    <w:p w:rsidR="00477C51" w:rsidRPr="00D21C01" w:rsidRDefault="00F45CF9" w:rsidP="008D3A3F">
      <w:pPr>
        <w:pStyle w:val="Heading1"/>
        <w:rPr>
          <w:rFonts w:ascii="Times New Roman" w:hAnsi="Times New Roman"/>
          <w:sz w:val="24"/>
        </w:rPr>
      </w:pPr>
      <w:r w:rsidRPr="00D21C01">
        <w:rPr>
          <w:rFonts w:ascii="Times New Roman" w:hAnsi="Times New Roman"/>
          <w:sz w:val="24"/>
        </w:rPr>
        <w:t xml:space="preserve">Thermal Detector </w:t>
      </w:r>
      <w:r w:rsidR="00477C51" w:rsidRPr="00D21C01">
        <w:rPr>
          <w:rFonts w:ascii="Times New Roman" w:hAnsi="Times New Roman"/>
          <w:sz w:val="24"/>
        </w:rPr>
        <w:t>Assembly:</w:t>
      </w:r>
    </w:p>
    <w:p w:rsidR="00477C51" w:rsidRPr="00D21C01" w:rsidRDefault="00112395" w:rsidP="00477C51">
      <w:pPr>
        <w:ind w:firstLine="720"/>
        <w:rPr>
          <w:b/>
        </w:rPr>
      </w:pPr>
      <w:r w:rsidRPr="00D21C01">
        <w:rPr>
          <w:b/>
        </w:rPr>
        <w:t xml:space="preserve">Thermal </w:t>
      </w:r>
      <w:r w:rsidR="00E55304" w:rsidRPr="00D21C01">
        <w:rPr>
          <w:b/>
        </w:rPr>
        <w:t>Imag</w:t>
      </w:r>
      <w:r w:rsidRPr="00D21C01">
        <w:rPr>
          <w:b/>
        </w:rPr>
        <w:t>ing</w:t>
      </w:r>
      <w:r w:rsidR="00E55304" w:rsidRPr="00D21C01">
        <w:rPr>
          <w:b/>
        </w:rPr>
        <w:t xml:space="preserve"> Sensor</w:t>
      </w:r>
      <w:r w:rsidR="00477C51" w:rsidRPr="00D21C01">
        <w:rPr>
          <w:b/>
        </w:rPr>
        <w:t>:</w:t>
      </w:r>
    </w:p>
    <w:p w:rsidR="00802F3A" w:rsidRPr="00D21C01" w:rsidRDefault="00112395" w:rsidP="00112395">
      <w:pPr>
        <w:numPr>
          <w:ilvl w:val="0"/>
          <w:numId w:val="12"/>
        </w:numPr>
        <w:tabs>
          <w:tab w:val="clear" w:pos="360"/>
          <w:tab w:val="num" w:pos="720"/>
        </w:tabs>
        <w:ind w:left="1440"/>
      </w:pPr>
      <w:r w:rsidRPr="00D21C01">
        <w:t>Sensor</w:t>
      </w:r>
      <w:r w:rsidR="00802F3A" w:rsidRPr="00D21C01">
        <w:t xml:space="preserve"> Type: Focal Plane Array (FPA), Uncooled Vanadium Oxide </w:t>
      </w:r>
      <w:proofErr w:type="spellStart"/>
      <w:r w:rsidR="00802F3A" w:rsidRPr="00D21C01">
        <w:t>Microbolometer</w:t>
      </w:r>
      <w:proofErr w:type="spellEnd"/>
    </w:p>
    <w:p w:rsidR="00477C51" w:rsidRPr="00D21C01" w:rsidRDefault="00477C51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>Fixed mount pan and tilt unit bracket.</w:t>
      </w:r>
    </w:p>
    <w:p w:rsidR="00477C51" w:rsidRPr="00D21C01" w:rsidRDefault="00E95530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 xml:space="preserve">Thermal </w:t>
      </w:r>
      <w:r w:rsidR="00477C51" w:rsidRPr="00D21C01">
        <w:t>Sensitivity:</w:t>
      </w:r>
      <w:r w:rsidRPr="00D21C01">
        <w:t xml:space="preserve"> </w:t>
      </w:r>
      <w:r w:rsidR="00112395" w:rsidRPr="00D21C01">
        <w:t xml:space="preserve">&lt;75mk, </w:t>
      </w:r>
      <w:r w:rsidRPr="00D21C01">
        <w:t xml:space="preserve">&lt;50 </w:t>
      </w:r>
      <w:proofErr w:type="spellStart"/>
      <w:proofErr w:type="gramStart"/>
      <w:r w:rsidRPr="00D21C01">
        <w:t>mK</w:t>
      </w:r>
      <w:proofErr w:type="spellEnd"/>
      <w:proofErr w:type="gramEnd"/>
      <w:r w:rsidRPr="00D21C01">
        <w:t xml:space="preserve"> f/1.0</w:t>
      </w:r>
      <w:r w:rsidR="00E55304" w:rsidRPr="00D21C01">
        <w:t xml:space="preserve"> or lower</w:t>
      </w:r>
      <w:r w:rsidR="00477C51" w:rsidRPr="00D21C01">
        <w:t>.</w:t>
      </w:r>
    </w:p>
    <w:p w:rsidR="00477C51" w:rsidRPr="00D21C01" w:rsidRDefault="00477C51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 xml:space="preserve">Active picture elements (pixels): </w:t>
      </w:r>
      <w:r w:rsidR="00E55304" w:rsidRPr="00D21C01">
        <w:t>320</w:t>
      </w:r>
      <w:r w:rsidR="006B727D" w:rsidRPr="00D21C01">
        <w:t xml:space="preserve">(H) x </w:t>
      </w:r>
      <w:r w:rsidR="00E55304" w:rsidRPr="00D21C01">
        <w:t>240</w:t>
      </w:r>
      <w:r w:rsidRPr="00D21C01">
        <w:t>(V), minimum.</w:t>
      </w:r>
      <w:r w:rsidR="00112395" w:rsidRPr="00D21C01">
        <w:t xml:space="preserve"> 25 micron pixel pitch.</w:t>
      </w:r>
    </w:p>
    <w:p w:rsidR="00477C51" w:rsidRPr="00D21C01" w:rsidRDefault="00BA6F3B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>Thermal</w:t>
      </w:r>
      <w:r w:rsidR="00802F3A" w:rsidRPr="00D21C01">
        <w:t xml:space="preserve"> Output</w:t>
      </w:r>
      <w:r w:rsidR="00477C51" w:rsidRPr="00D21C01">
        <w:t>:</w:t>
      </w:r>
      <w:r w:rsidR="00DB1FF5" w:rsidRPr="00D21C01">
        <w:t xml:space="preserve"> Analog</w:t>
      </w:r>
      <w:r w:rsidR="00477C51" w:rsidRPr="00D21C01">
        <w:t xml:space="preserve"> NTSC equivalent.</w:t>
      </w:r>
    </w:p>
    <w:p w:rsidR="00477C51" w:rsidRPr="00D21C01" w:rsidRDefault="00477C51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>Output impedance: 75 Ohms nominal.</w:t>
      </w:r>
    </w:p>
    <w:p w:rsidR="00DB1FF5" w:rsidRPr="00D21C01" w:rsidRDefault="00DB1FF5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>Operating Temperature Range: -50°C to 75°C (-58°F to 167°F)</w:t>
      </w:r>
    </w:p>
    <w:p w:rsidR="00477C51" w:rsidRPr="00D21C01" w:rsidRDefault="00477C51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>Lens</w:t>
      </w:r>
      <w:r w:rsidR="00BA6F3B" w:rsidRPr="00D21C01">
        <w:t xml:space="preserve"> </w:t>
      </w:r>
      <w:r w:rsidR="00112395" w:rsidRPr="00D21C01">
        <w:t>Selection</w:t>
      </w:r>
      <w:r w:rsidR="00DB1FF5" w:rsidRPr="00D21C01">
        <w:t>:</w:t>
      </w:r>
      <w:r w:rsidRPr="00D21C01">
        <w:t xml:space="preserve"> </w:t>
      </w:r>
      <w:r w:rsidR="00BA6F3B" w:rsidRPr="00D21C01">
        <w:t>Based on recommendation of manufacturer for each detector installed, per outcome of Site Survey.</w:t>
      </w:r>
    </w:p>
    <w:p w:rsidR="001F3EC2" w:rsidRPr="00D21C01" w:rsidRDefault="001F3EC2" w:rsidP="004846C2">
      <w:pPr>
        <w:ind w:left="1440"/>
      </w:pPr>
    </w:p>
    <w:p w:rsidR="007B32FD" w:rsidRPr="00D21C01" w:rsidRDefault="007B32FD" w:rsidP="007B32FD"/>
    <w:p w:rsidR="002B3F55" w:rsidRPr="00D21C01" w:rsidRDefault="002B3F55" w:rsidP="002B3F55">
      <w:pPr>
        <w:ind w:firstLine="720"/>
        <w:rPr>
          <w:b/>
        </w:rPr>
      </w:pPr>
      <w:r w:rsidRPr="00D21C01">
        <w:rPr>
          <w:b/>
        </w:rPr>
        <w:t>Surge Protection</w:t>
      </w:r>
    </w:p>
    <w:p w:rsidR="002B3F55" w:rsidRPr="00D21C01" w:rsidRDefault="002B3F55" w:rsidP="002B3F55">
      <w:pPr>
        <w:ind w:left="1080"/>
      </w:pPr>
      <w:r w:rsidRPr="00D21C01">
        <w:t>A thermal surge suppressor(s) shall be available for installation inside the traffic signal controller cabinet.  The suppressor shall provide coaxial cable connection points to a Thomas Research CCTV-SP-NI or approved equal transient suppresser for each image sensor.</w:t>
      </w:r>
    </w:p>
    <w:p w:rsidR="002B3F55" w:rsidRPr="00D21C01" w:rsidRDefault="002B3F55" w:rsidP="002B3F55">
      <w:pPr>
        <w:ind w:left="1080"/>
      </w:pPr>
    </w:p>
    <w:p w:rsidR="002B3F55" w:rsidRPr="00D21C01" w:rsidRDefault="002B3F55" w:rsidP="002B3F55">
      <w:pPr>
        <w:pStyle w:val="ListParagraph"/>
        <w:numPr>
          <w:ilvl w:val="0"/>
          <w:numId w:val="32"/>
        </w:numPr>
        <w:tabs>
          <w:tab w:val="num" w:pos="1800"/>
        </w:tabs>
        <w:ind w:left="1440"/>
      </w:pPr>
      <w:r w:rsidRPr="00D21C01">
        <w:t>Peak Surge Current (8 x 20 us)</w:t>
      </w:r>
      <w:r w:rsidRPr="00D21C01">
        <w:tab/>
        <w:t>20KA</w:t>
      </w:r>
    </w:p>
    <w:p w:rsidR="002B3F55" w:rsidRPr="00D21C01" w:rsidRDefault="002B3F55" w:rsidP="002B3F55">
      <w:pPr>
        <w:pStyle w:val="ListParagraph"/>
        <w:numPr>
          <w:ilvl w:val="0"/>
          <w:numId w:val="32"/>
        </w:numPr>
        <w:tabs>
          <w:tab w:val="num" w:pos="1800"/>
        </w:tabs>
        <w:ind w:left="1440"/>
      </w:pPr>
      <w:r w:rsidRPr="00D21C01">
        <w:t>Technology</w:t>
      </w:r>
      <w:r w:rsidRPr="00D21C01">
        <w:tab/>
        <w:t>Hybrid, Solid State</w:t>
      </w:r>
    </w:p>
    <w:p w:rsidR="002B3F55" w:rsidRPr="00D21C01" w:rsidRDefault="002B3F55" w:rsidP="002B3F55">
      <w:pPr>
        <w:pStyle w:val="ListParagraph"/>
        <w:numPr>
          <w:ilvl w:val="0"/>
          <w:numId w:val="32"/>
        </w:numPr>
        <w:tabs>
          <w:tab w:val="num" w:pos="1800"/>
        </w:tabs>
        <w:ind w:left="1440"/>
      </w:pPr>
      <w:r w:rsidRPr="00D21C01">
        <w:t>Attenuation</w:t>
      </w:r>
      <w:r w:rsidRPr="00D21C01">
        <w:tab/>
        <w:t>0.1db @ 10Mhz</w:t>
      </w:r>
    </w:p>
    <w:p w:rsidR="002B3F55" w:rsidRPr="00D21C01" w:rsidRDefault="002B3F55" w:rsidP="002B3F55">
      <w:pPr>
        <w:pStyle w:val="ListParagraph"/>
        <w:numPr>
          <w:ilvl w:val="0"/>
          <w:numId w:val="32"/>
        </w:numPr>
        <w:tabs>
          <w:tab w:val="num" w:pos="1800"/>
        </w:tabs>
        <w:ind w:left="1440"/>
      </w:pPr>
      <w:r w:rsidRPr="00D21C01">
        <w:t>Response Time</w:t>
      </w:r>
      <w:r w:rsidRPr="00D21C01">
        <w:tab/>
        <w:t>&lt;1 nanosecond</w:t>
      </w:r>
    </w:p>
    <w:p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Protection</w:t>
      </w:r>
      <w:r w:rsidRPr="00D21C01">
        <w:tab/>
        <w:t>Line to Ground</w:t>
      </w:r>
    </w:p>
    <w:p w:rsidR="002B3F55" w:rsidRPr="00D21C01" w:rsidRDefault="002B3F55" w:rsidP="002B3F55">
      <w:pPr>
        <w:pStyle w:val="ListParagraph"/>
        <w:numPr>
          <w:ilvl w:val="0"/>
          <w:numId w:val="32"/>
        </w:numPr>
        <w:tabs>
          <w:tab w:val="num" w:pos="1800"/>
        </w:tabs>
        <w:ind w:left="1440"/>
      </w:pPr>
      <w:r w:rsidRPr="00D21C01">
        <w:t>Shield to Ground</w:t>
      </w:r>
      <w:r w:rsidRPr="00D21C01">
        <w:tab/>
        <w:t>(isolated shield modules)</w:t>
      </w:r>
    </w:p>
    <w:p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Clamp Voltage</w:t>
      </w:r>
      <w:r w:rsidRPr="00D21C01">
        <w:tab/>
        <w:t>6 volts</w:t>
      </w:r>
    </w:p>
    <w:p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Connectors</w:t>
      </w:r>
      <w:r w:rsidRPr="00D21C01">
        <w:tab/>
        <w:t>BNC</w:t>
      </w:r>
    </w:p>
    <w:p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Impedance</w:t>
      </w:r>
      <w:r w:rsidRPr="00D21C01">
        <w:tab/>
        <w:t>75 Ohms</w:t>
      </w:r>
    </w:p>
    <w:p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Temperature</w:t>
      </w:r>
      <w:r w:rsidRPr="00D21C01">
        <w:tab/>
        <w:t>-40 to +85 degrees C</w:t>
      </w:r>
    </w:p>
    <w:p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Humidity</w:t>
      </w:r>
      <w:r w:rsidRPr="00D21C01">
        <w:tab/>
        <w:t>0-95% non-condensing</w:t>
      </w:r>
    </w:p>
    <w:p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Dimensions</w:t>
      </w:r>
      <w:r w:rsidRPr="00D21C01">
        <w:tab/>
        <w:t>4.5” x 1.5” x 1.25”</w:t>
      </w:r>
    </w:p>
    <w:p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UL Listed</w:t>
      </w:r>
      <w:r w:rsidRPr="00D21C01">
        <w:tab/>
        <w:t>UL 497B</w:t>
      </w:r>
    </w:p>
    <w:p w:rsidR="002B3F55" w:rsidRPr="00D21C01" w:rsidRDefault="002B3F55" w:rsidP="002B3F55">
      <w:pPr>
        <w:jc w:val="left"/>
      </w:pPr>
    </w:p>
    <w:p w:rsidR="00477C51" w:rsidRPr="00D21C01" w:rsidRDefault="00F45CF9" w:rsidP="00477C51">
      <w:pPr>
        <w:ind w:firstLine="720"/>
        <w:rPr>
          <w:b/>
        </w:rPr>
      </w:pPr>
      <w:r w:rsidRPr="00D21C01">
        <w:rPr>
          <w:b/>
        </w:rPr>
        <w:t xml:space="preserve">Detector </w:t>
      </w:r>
      <w:r w:rsidR="00477C51" w:rsidRPr="00D21C01">
        <w:rPr>
          <w:b/>
        </w:rPr>
        <w:t>Enclosure:</w:t>
      </w:r>
    </w:p>
    <w:p w:rsidR="00477C51" w:rsidRPr="00D21C01" w:rsidRDefault="00477C51" w:rsidP="00477C51">
      <w:pPr>
        <w:numPr>
          <w:ilvl w:val="0"/>
          <w:numId w:val="17"/>
        </w:numPr>
        <w:tabs>
          <w:tab w:val="left" w:pos="720"/>
        </w:tabs>
        <w:ind w:left="1440"/>
      </w:pPr>
      <w:r w:rsidRPr="00D21C01">
        <w:t>Tamper proof constructed of painted or powder coated aluminum of at least 0.06-inch (1.59-mm) thickness.</w:t>
      </w:r>
    </w:p>
    <w:p w:rsidR="00477C51" w:rsidRPr="00D21C01" w:rsidRDefault="00477C51" w:rsidP="00477C51">
      <w:pPr>
        <w:numPr>
          <w:ilvl w:val="0"/>
          <w:numId w:val="17"/>
        </w:numPr>
        <w:tabs>
          <w:tab w:val="left" w:pos="720"/>
        </w:tabs>
        <w:ind w:left="1440"/>
      </w:pPr>
      <w:r w:rsidRPr="00D21C01">
        <w:t>Environmentally sealed</w:t>
      </w:r>
      <w:r w:rsidR="001A6846" w:rsidRPr="00D21C01">
        <w:t xml:space="preserve"> housing</w:t>
      </w:r>
      <w:r w:rsidRPr="00D21C01">
        <w:t>.</w:t>
      </w:r>
      <w:r w:rsidR="00073343" w:rsidRPr="00D21C01">
        <w:t xml:space="preserve"> IP-66 Rating</w:t>
      </w:r>
    </w:p>
    <w:p w:rsidR="004A1F70" w:rsidRPr="00D21C01" w:rsidRDefault="004A1F70" w:rsidP="004A1F70">
      <w:pPr>
        <w:numPr>
          <w:ilvl w:val="0"/>
          <w:numId w:val="17"/>
        </w:numPr>
        <w:tabs>
          <w:tab w:val="left" w:pos="720"/>
        </w:tabs>
        <w:ind w:left="1440"/>
      </w:pPr>
      <w:r w:rsidRPr="00D21C01">
        <w:t>Adequate adjustable sunshield should be provided.</w:t>
      </w:r>
    </w:p>
    <w:p w:rsidR="00067299" w:rsidRPr="00D21C01" w:rsidRDefault="001A6846" w:rsidP="007379C2">
      <w:pPr>
        <w:numPr>
          <w:ilvl w:val="0"/>
          <w:numId w:val="17"/>
        </w:numPr>
        <w:tabs>
          <w:tab w:val="left" w:pos="720"/>
        </w:tabs>
        <w:ind w:left="1440"/>
      </w:pPr>
      <w:r w:rsidRPr="00D21C01">
        <w:t xml:space="preserve">Internal </w:t>
      </w:r>
      <w:r w:rsidR="00477C51" w:rsidRPr="00D21C01">
        <w:t>Heater, window defroster, and a thermostat to control both.</w:t>
      </w:r>
    </w:p>
    <w:p w:rsidR="00C6712E" w:rsidRPr="00D21C01" w:rsidRDefault="00C6712E" w:rsidP="007B32FD">
      <w:pPr>
        <w:pStyle w:val="ListParagraph"/>
        <w:numPr>
          <w:ilvl w:val="0"/>
          <w:numId w:val="17"/>
        </w:numPr>
        <w:tabs>
          <w:tab w:val="left" w:pos="720"/>
        </w:tabs>
        <w:ind w:left="1440"/>
      </w:pPr>
      <w:r w:rsidRPr="00D21C01">
        <w:t>The enclosure shall include grounding and surge protection.</w:t>
      </w:r>
    </w:p>
    <w:p w:rsidR="004169CB" w:rsidRPr="00D21C01" w:rsidRDefault="004169CB" w:rsidP="00C11982"/>
    <w:p w:rsidR="00477C51" w:rsidRPr="00D21C01" w:rsidRDefault="00477C51" w:rsidP="0043386B">
      <w:pPr>
        <w:spacing w:line="360" w:lineRule="auto"/>
        <w:rPr>
          <w:b/>
        </w:rPr>
      </w:pPr>
      <w:r w:rsidRPr="00D21C01">
        <w:rPr>
          <w:b/>
        </w:rPr>
        <w:t>Documentation: (</w:t>
      </w:r>
      <w:r w:rsidR="00CF3A7D" w:rsidRPr="00D21C01">
        <w:rPr>
          <w:b/>
        </w:rPr>
        <w:t>T</w:t>
      </w:r>
      <w:r w:rsidR="003C45C2" w:rsidRPr="00D21C01">
        <w:rPr>
          <w:b/>
        </w:rPr>
        <w:t>V</w:t>
      </w:r>
      <w:r w:rsidR="00CF3A7D" w:rsidRPr="00D21C01">
        <w:rPr>
          <w:b/>
        </w:rPr>
        <w:t>DA</w:t>
      </w:r>
      <w:r w:rsidRPr="00D21C01">
        <w:rPr>
          <w:b/>
        </w:rPr>
        <w:t>)</w:t>
      </w:r>
    </w:p>
    <w:p w:rsidR="00477C51" w:rsidRPr="00D21C01" w:rsidRDefault="00477C51" w:rsidP="008D3A3F">
      <w:pPr>
        <w:pStyle w:val="BodyTextIndent2"/>
        <w:spacing w:after="0" w:line="240" w:lineRule="auto"/>
      </w:pPr>
      <w:r w:rsidRPr="00D21C01">
        <w:t xml:space="preserve">Provide </w:t>
      </w:r>
      <w:r w:rsidR="007D6674" w:rsidRPr="00D21C01">
        <w:t xml:space="preserve">to the </w:t>
      </w:r>
      <w:r w:rsidR="007D6674" w:rsidRPr="00D21C01">
        <w:rPr>
          <w:b/>
        </w:rPr>
        <w:t>Department of Transportation Office of Maintenance</w:t>
      </w:r>
      <w:r w:rsidR="007D6674" w:rsidRPr="00D21C01">
        <w:t xml:space="preserve"> </w:t>
      </w:r>
      <w:r w:rsidRPr="00D21C01">
        <w:t>three (3) copies of equipment manuals furnished by the manufacturer, which includes the following:</w:t>
      </w:r>
    </w:p>
    <w:p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Installation and operation procedures.</w:t>
      </w:r>
    </w:p>
    <w:p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Performance specifications (functions, electrical, mechanical and environmental) of the unit.</w:t>
      </w:r>
    </w:p>
    <w:p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Schematic diagrams.</w:t>
      </w:r>
    </w:p>
    <w:p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Pictorial of component layout on circuit board.</w:t>
      </w:r>
    </w:p>
    <w:p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List of replaceable parts including names of vendors for parts not identified by universal part numbers such as JEDEC/RETMA or EIA.</w:t>
      </w:r>
    </w:p>
    <w:p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Troubleshooting, diagnostic and maintenance procedures.</w:t>
      </w:r>
    </w:p>
    <w:p w:rsidR="00F13C62" w:rsidRPr="00D21C01" w:rsidRDefault="00F13C62" w:rsidP="008D3A3F">
      <w:pPr>
        <w:rPr>
          <w:b/>
        </w:rPr>
      </w:pPr>
    </w:p>
    <w:p w:rsidR="008D3A3F" w:rsidRPr="00D21C01" w:rsidRDefault="00477C51" w:rsidP="008D3A3F">
      <w:pPr>
        <w:rPr>
          <w:b/>
        </w:rPr>
      </w:pPr>
      <w:r w:rsidRPr="00D21C01">
        <w:rPr>
          <w:b/>
        </w:rPr>
        <w:t>Site Survey:</w:t>
      </w:r>
    </w:p>
    <w:p w:rsidR="00477C51" w:rsidRPr="00D21C01" w:rsidRDefault="00477C51" w:rsidP="008D3A3F">
      <w:pPr>
        <w:ind w:left="360"/>
        <w:rPr>
          <w:b/>
        </w:rPr>
      </w:pPr>
      <w:r w:rsidRPr="00D21C01">
        <w:t xml:space="preserve">Perform a site survey with the </w:t>
      </w:r>
      <w:r w:rsidR="00271EB3" w:rsidRPr="00D21C01">
        <w:t>TVDA</w:t>
      </w:r>
      <w:r w:rsidRPr="00D21C01">
        <w:t xml:space="preserve"> manufacturer representative at all </w:t>
      </w:r>
      <w:r w:rsidR="001C17D3" w:rsidRPr="00D21C01">
        <w:t>T</w:t>
      </w:r>
      <w:r w:rsidR="003C45C2" w:rsidRPr="00D21C01">
        <w:t>V</w:t>
      </w:r>
      <w:r w:rsidR="00271EB3" w:rsidRPr="00D21C01">
        <w:t>DA</w:t>
      </w:r>
      <w:r w:rsidRPr="00D21C01">
        <w:t xml:space="preserve"> locations</w:t>
      </w:r>
      <w:r w:rsidR="001C17D3" w:rsidRPr="00D21C01">
        <w:t xml:space="preserve"> </w:t>
      </w:r>
      <w:r w:rsidR="007B32FD" w:rsidRPr="00D21C01">
        <w:t>prior</w:t>
      </w:r>
      <w:r w:rsidR="001C17D3" w:rsidRPr="00D21C01">
        <w:t xml:space="preserve"> to the installations of the T</w:t>
      </w:r>
      <w:r w:rsidR="003C45C2" w:rsidRPr="00D21C01">
        <w:t>V</w:t>
      </w:r>
      <w:r w:rsidR="00271EB3" w:rsidRPr="00D21C01">
        <w:t>DA</w:t>
      </w:r>
      <w:r w:rsidR="001C17D3" w:rsidRPr="00D21C01">
        <w:t xml:space="preserve"> equipment.</w:t>
      </w:r>
      <w:r w:rsidRPr="00D21C01">
        <w:t xml:space="preserve"> The purpose of the survey is to optimize the performance from the </w:t>
      </w:r>
      <w:r w:rsidR="001C17D3" w:rsidRPr="00D21C01">
        <w:t>T</w:t>
      </w:r>
      <w:r w:rsidR="003C45C2" w:rsidRPr="00D21C01">
        <w:t>V</w:t>
      </w:r>
      <w:r w:rsidR="00271EB3" w:rsidRPr="00D21C01">
        <w:t>DA</w:t>
      </w:r>
      <w:r w:rsidRPr="00D21C01">
        <w:t xml:space="preserve"> equipment when it is installed and insure that it will meet the accuracy requirements specified previously. Submit the results of this survey to the Engineer in a report, which lists all </w:t>
      </w:r>
      <w:r w:rsidR="001C17D3" w:rsidRPr="00D21C01">
        <w:t>T</w:t>
      </w:r>
      <w:r w:rsidR="003C45C2" w:rsidRPr="00D21C01">
        <w:t>V</w:t>
      </w:r>
      <w:r w:rsidR="00271EB3" w:rsidRPr="00D21C01">
        <w:t>DA</w:t>
      </w:r>
      <w:r w:rsidRPr="00D21C01">
        <w:t xml:space="preserve"> locations with any recommended changes to camera locations, mounting adjustments, camera lens adjustments, and desired detection zone locations. </w:t>
      </w:r>
      <w:r w:rsidR="003C45C2" w:rsidRPr="00D21C01">
        <w:t xml:space="preserve"> This report shall be provided to the Engineer no later than the semi-final inspection.</w:t>
      </w:r>
    </w:p>
    <w:p w:rsidR="007B32FD" w:rsidRPr="00D21C01" w:rsidRDefault="007B32FD" w:rsidP="008D3A3F">
      <w:pPr>
        <w:rPr>
          <w:b/>
        </w:rPr>
      </w:pPr>
    </w:p>
    <w:p w:rsidR="00477C51" w:rsidRPr="00D21C01" w:rsidRDefault="00477C51" w:rsidP="008D3A3F">
      <w:pPr>
        <w:rPr>
          <w:b/>
        </w:rPr>
      </w:pPr>
      <w:r w:rsidRPr="00D21C01">
        <w:rPr>
          <w:b/>
        </w:rPr>
        <w:t>Warranties and Guarantees: (</w:t>
      </w:r>
      <w:r w:rsidR="001C17D3" w:rsidRPr="00D21C01">
        <w:rPr>
          <w:b/>
        </w:rPr>
        <w:t>T</w:t>
      </w:r>
      <w:r w:rsidR="003C45C2" w:rsidRPr="00D21C01">
        <w:rPr>
          <w:b/>
        </w:rPr>
        <w:t>V</w:t>
      </w:r>
      <w:r w:rsidR="001C17D3" w:rsidRPr="00D21C01">
        <w:rPr>
          <w:b/>
        </w:rPr>
        <w:t>DA</w:t>
      </w:r>
      <w:r w:rsidRPr="00D21C01">
        <w:rPr>
          <w:b/>
        </w:rPr>
        <w:t>)</w:t>
      </w:r>
    </w:p>
    <w:p w:rsidR="00477C51" w:rsidRPr="00D21C01" w:rsidRDefault="00477C51" w:rsidP="008D3A3F">
      <w:pPr>
        <w:ind w:left="360"/>
      </w:pPr>
      <w:r w:rsidRPr="00D21C01">
        <w:t xml:space="preserve">Provide warranties and guarantees to the </w:t>
      </w:r>
      <w:r w:rsidRPr="00D21C01">
        <w:rPr>
          <w:b/>
        </w:rPr>
        <w:t>Department of Transportation</w:t>
      </w:r>
      <w:r w:rsidR="003B1568" w:rsidRPr="00D21C01">
        <w:rPr>
          <w:b/>
        </w:rPr>
        <w:t xml:space="preserve"> </w:t>
      </w:r>
      <w:r w:rsidR="007D6674" w:rsidRPr="00D21C01">
        <w:rPr>
          <w:b/>
        </w:rPr>
        <w:t>Office of Maintenance</w:t>
      </w:r>
      <w:r w:rsidRPr="00D21C01">
        <w:t xml:space="preserve"> in accordance with Article 1.06.08 of the Standard Specifications</w:t>
      </w:r>
      <w:r w:rsidR="00BE5EF5" w:rsidRPr="00D21C01">
        <w:t>.</w:t>
      </w:r>
      <w:r w:rsidR="006B727D" w:rsidRPr="00D21C01">
        <w:t xml:space="preserve"> Warranties for</w:t>
      </w:r>
      <w:r w:rsidRPr="00D21C01">
        <w:t xml:space="preserve"> all equipment furnished as part of this Contract are </w:t>
      </w:r>
      <w:r w:rsidR="006B727D" w:rsidRPr="00D21C01">
        <w:t xml:space="preserve">to cover </w:t>
      </w:r>
      <w:r w:rsidRPr="00D21C01">
        <w:t xml:space="preserve">a period of 24 months following successful completion of </w:t>
      </w:r>
      <w:r w:rsidR="00A620AD" w:rsidRPr="00D21C01">
        <w:t>the entire</w:t>
      </w:r>
      <w:r w:rsidRPr="00D21C01">
        <w:t xml:space="preserve"> intersection acceptance test.</w:t>
      </w:r>
    </w:p>
    <w:p w:rsidR="001F3EC2" w:rsidRPr="00D21C01" w:rsidRDefault="001F3EC2" w:rsidP="008D3A3F">
      <w:pPr>
        <w:ind w:left="360"/>
      </w:pPr>
    </w:p>
    <w:p w:rsidR="00D325C6" w:rsidRPr="00D21C01" w:rsidRDefault="00D325C6" w:rsidP="001F3EC2">
      <w:pPr>
        <w:pStyle w:val="ListParagraph"/>
      </w:pPr>
    </w:p>
    <w:p w:rsidR="00477C51" w:rsidRPr="00D21C01" w:rsidRDefault="00477C51" w:rsidP="00477C51">
      <w:pPr>
        <w:pStyle w:val="SpecHead2"/>
      </w:pPr>
      <w:r w:rsidRPr="00D21C01">
        <w:t>Construction Methods:</w:t>
      </w:r>
    </w:p>
    <w:p w:rsidR="00C11982" w:rsidRPr="00D21C01" w:rsidRDefault="00C11982" w:rsidP="00C11982"/>
    <w:p w:rsidR="004A1F70" w:rsidRPr="00D21C01" w:rsidRDefault="00477C51" w:rsidP="00D21C01">
      <w:pPr>
        <w:ind w:left="360"/>
      </w:pPr>
      <w:r w:rsidRPr="00D21C01">
        <w:t xml:space="preserve">Install </w:t>
      </w:r>
      <w:r w:rsidR="001C17D3" w:rsidRPr="00D21C01">
        <w:t>T</w:t>
      </w:r>
      <w:r w:rsidR="003C45C2" w:rsidRPr="00D21C01">
        <w:t>V</w:t>
      </w:r>
      <w:r w:rsidR="00271EB3" w:rsidRPr="00D21C01">
        <w:t>DA</w:t>
      </w:r>
      <w:r w:rsidRPr="00D21C01">
        <w:t xml:space="preserve"> equipment in accordance with the manufacturer instructions and recommendations to achieve the detection zones as shown in the plans and accuracy as described in these specifications. </w:t>
      </w:r>
      <w:r w:rsidR="00981A58" w:rsidRPr="00D21C01">
        <w:t>Conduct the Site Survey as specified above</w:t>
      </w:r>
      <w:r w:rsidR="003C45C2" w:rsidRPr="00D21C01">
        <w:t>.</w:t>
      </w:r>
      <w:r w:rsidR="00981A58" w:rsidRPr="00D21C01">
        <w:t xml:space="preserve"> </w:t>
      </w:r>
      <w:r w:rsidRPr="00D21C01">
        <w:t xml:space="preserve">The location of the </w:t>
      </w:r>
      <w:r w:rsidR="001C17D3" w:rsidRPr="00D21C01">
        <w:t>T</w:t>
      </w:r>
      <w:r w:rsidR="003C45C2" w:rsidRPr="00D21C01">
        <w:t>V</w:t>
      </w:r>
      <w:r w:rsidR="001C17D3" w:rsidRPr="00D21C01">
        <w:t>DA</w:t>
      </w:r>
      <w:r w:rsidRPr="00D21C01">
        <w:t xml:space="preserve"> shown on the plan may be revised as a result of the Site Survey.</w:t>
      </w:r>
      <w:r w:rsidR="004A1F70" w:rsidRPr="00D21C01">
        <w:t xml:space="preserve"> </w:t>
      </w:r>
      <w:r w:rsidR="003C45C2" w:rsidRPr="00D21C01">
        <w:t xml:space="preserve">Provide the Site </w:t>
      </w:r>
      <w:r w:rsidR="003C45C2" w:rsidRPr="00D21C01">
        <w:lastRenderedPageBreak/>
        <w:t>Survey report to the Engineer and review proposed TVDA relocations prior to installation of TVD</w:t>
      </w:r>
      <w:r w:rsidR="00271EB3" w:rsidRPr="00D21C01">
        <w:t>A</w:t>
      </w:r>
      <w:r w:rsidR="003C45C2" w:rsidRPr="00D21C01">
        <w:t xml:space="preserve"> equipment.  </w:t>
      </w:r>
    </w:p>
    <w:p w:rsidR="00477C51" w:rsidRPr="00D21C01" w:rsidRDefault="00477C51" w:rsidP="00477C51">
      <w:pPr>
        <w:ind w:firstLine="720"/>
      </w:pPr>
    </w:p>
    <w:p w:rsidR="00477C51" w:rsidRPr="00D21C01" w:rsidRDefault="00477C51" w:rsidP="00477C51">
      <w:pPr>
        <w:pStyle w:val="SpecHead2"/>
      </w:pPr>
      <w:r w:rsidRPr="00D21C01">
        <w:t>Method of Measurement:</w:t>
      </w:r>
    </w:p>
    <w:p w:rsidR="00C11982" w:rsidRPr="00D21C01" w:rsidRDefault="00C11982" w:rsidP="00C11982"/>
    <w:p w:rsidR="00477C51" w:rsidRPr="00D21C01" w:rsidRDefault="00477C51" w:rsidP="007B32FD">
      <w:pPr>
        <w:tabs>
          <w:tab w:val="left" w:pos="360"/>
        </w:tabs>
        <w:spacing w:after="120"/>
        <w:ind w:left="360"/>
      </w:pPr>
      <w:r w:rsidRPr="00D21C01">
        <w:t xml:space="preserve">The </w:t>
      </w:r>
      <w:r w:rsidR="00981A58" w:rsidRPr="00D21C01">
        <w:t xml:space="preserve">Thermal </w:t>
      </w:r>
      <w:r w:rsidR="003C45C2" w:rsidRPr="00D21C01">
        <w:t xml:space="preserve">Video </w:t>
      </w:r>
      <w:r w:rsidR="00981A58" w:rsidRPr="00D21C01">
        <w:t xml:space="preserve">Detector </w:t>
      </w:r>
      <w:r w:rsidRPr="00D21C01">
        <w:t xml:space="preserve">Assembly will be measured for payment as the number of </w:t>
      </w:r>
      <w:r w:rsidR="00981A58" w:rsidRPr="00D21C01">
        <w:t xml:space="preserve">detectors </w:t>
      </w:r>
      <w:r w:rsidRPr="00D21C01">
        <w:t>furnished, ins</w:t>
      </w:r>
      <w:r w:rsidR="00F34A7F" w:rsidRPr="00D21C01">
        <w:t>talled operational and accepted.</w:t>
      </w:r>
    </w:p>
    <w:p w:rsidR="00C11982" w:rsidRPr="00D21C01" w:rsidRDefault="00C11982" w:rsidP="008D3A3F">
      <w:pPr>
        <w:ind w:left="360"/>
      </w:pPr>
      <w:bookmarkStart w:id="0" w:name="_GoBack"/>
      <w:bookmarkEnd w:id="0"/>
    </w:p>
    <w:p w:rsidR="00477C51" w:rsidRPr="00D21C01" w:rsidRDefault="00477C51" w:rsidP="00477C51">
      <w:pPr>
        <w:pStyle w:val="SpecHead2"/>
      </w:pPr>
      <w:r w:rsidRPr="00D21C01">
        <w:t xml:space="preserve">Basis of Payment: </w:t>
      </w:r>
    </w:p>
    <w:p w:rsidR="00C11982" w:rsidRPr="00D21C01" w:rsidRDefault="00C11982" w:rsidP="00C11982"/>
    <w:p w:rsidR="00477C51" w:rsidRPr="00D21C01" w:rsidRDefault="00477C51" w:rsidP="007B32FD">
      <w:pPr>
        <w:spacing w:after="120"/>
        <w:ind w:left="360"/>
      </w:pPr>
      <w:r w:rsidRPr="00D21C01">
        <w:t xml:space="preserve">The unit bid price for </w:t>
      </w:r>
      <w:r w:rsidR="00981A58" w:rsidRPr="00D21C01">
        <w:t xml:space="preserve">Thermal </w:t>
      </w:r>
      <w:r w:rsidR="003C45C2" w:rsidRPr="00D21C01">
        <w:t xml:space="preserve">Video </w:t>
      </w:r>
      <w:r w:rsidR="00981A58" w:rsidRPr="00D21C01">
        <w:t>Detector Assembly</w:t>
      </w:r>
      <w:r w:rsidRPr="00D21C01">
        <w:t xml:space="preserve"> includes the </w:t>
      </w:r>
      <w:r w:rsidR="00981A58" w:rsidRPr="00D21C01">
        <w:t>detector</w:t>
      </w:r>
      <w:r w:rsidRPr="00D21C01">
        <w:t xml:space="preserve">, enclosure, </w:t>
      </w:r>
      <w:r w:rsidR="007B32FD" w:rsidRPr="00D21C01">
        <w:t xml:space="preserve">surge protector, </w:t>
      </w:r>
      <w:r w:rsidRPr="00D21C01">
        <w:t xml:space="preserve">brackets used to attach the </w:t>
      </w:r>
      <w:r w:rsidR="00981A58" w:rsidRPr="00D21C01">
        <w:t>T</w:t>
      </w:r>
      <w:r w:rsidR="003C45C2" w:rsidRPr="00D21C01">
        <w:t>V</w:t>
      </w:r>
      <w:r w:rsidR="00981A58" w:rsidRPr="00D21C01">
        <w:t>DA</w:t>
      </w:r>
      <w:r w:rsidRPr="00D21C01">
        <w:t xml:space="preserve"> to a support structure or extension bracket, documentation, warrantee, labor, tools and equipment necessary to provide the specified </w:t>
      </w:r>
      <w:r w:rsidR="003C45C2" w:rsidRPr="00D21C01">
        <w:t xml:space="preserve">video </w:t>
      </w:r>
      <w:r w:rsidRPr="00D21C01">
        <w:t>signal to the VDP</w:t>
      </w:r>
      <w:r w:rsidR="001C4B65">
        <w:t>.</w:t>
      </w:r>
      <w:r w:rsidR="00F34A7F" w:rsidRPr="00D21C01">
        <w:t xml:space="preserve"> </w:t>
      </w:r>
    </w:p>
    <w:p w:rsidR="00B55E1E" w:rsidRPr="00D21C01" w:rsidRDefault="00B55E1E" w:rsidP="00477C51">
      <w:pPr>
        <w:pStyle w:val="Heading2"/>
        <w:ind w:firstLine="720"/>
        <w:rPr>
          <w:rFonts w:ascii="Times New Roman" w:hAnsi="Times New Roman"/>
          <w:b w:val="0"/>
          <w:u w:val="single"/>
        </w:rPr>
      </w:pPr>
    </w:p>
    <w:p w:rsidR="00477C51" w:rsidRPr="00D21C01" w:rsidRDefault="00477C51" w:rsidP="00477C51">
      <w:pPr>
        <w:pStyle w:val="Heading2"/>
        <w:ind w:firstLine="720"/>
        <w:rPr>
          <w:rFonts w:ascii="Times New Roman" w:hAnsi="Times New Roman"/>
          <w:b w:val="0"/>
          <w:u w:val="single"/>
        </w:rPr>
      </w:pPr>
      <w:r w:rsidRPr="00D21C01">
        <w:rPr>
          <w:rFonts w:ascii="Times New Roman" w:hAnsi="Times New Roman"/>
          <w:b w:val="0"/>
          <w:u w:val="single"/>
        </w:rPr>
        <w:t>Pay Item</w:t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  <w:b w:val="0"/>
          <w:u w:val="single"/>
        </w:rPr>
        <w:t>Pay Unit</w:t>
      </w:r>
    </w:p>
    <w:p w:rsidR="00C55D6C" w:rsidRDefault="00C55D6C" w:rsidP="00C55D6C">
      <w:pPr>
        <w:ind w:firstLine="720"/>
      </w:pPr>
      <w:proofErr w:type="gramStart"/>
      <w:r w:rsidRPr="00D21C01">
        <w:t>Thermal Video Detector Assembly</w:t>
      </w:r>
      <w:r w:rsidRPr="00D21C01">
        <w:tab/>
      </w:r>
      <w:r w:rsidRPr="00D21C01">
        <w:tab/>
      </w:r>
      <w:r w:rsidRPr="00D21C01">
        <w:tab/>
        <w:t>Ea.</w:t>
      </w:r>
      <w:proofErr w:type="gramEnd"/>
    </w:p>
    <w:p w:rsidR="00DB52A9" w:rsidRDefault="00DB52A9">
      <w:pPr>
        <w:jc w:val="left"/>
      </w:pPr>
      <w:r>
        <w:br w:type="page"/>
      </w:r>
    </w:p>
    <w:p w:rsidR="00784BE8" w:rsidRPr="00D21C01" w:rsidRDefault="00E00051" w:rsidP="00DB52A9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704850" y="2045970"/>
            <wp:positionH relativeFrom="margin">
              <wp:align>center</wp:align>
            </wp:positionH>
            <wp:positionV relativeFrom="margin">
              <wp:align>top</wp:align>
            </wp:positionV>
            <wp:extent cx="8054340" cy="6224270"/>
            <wp:effectExtent l="635" t="0" r="4445" b="4445"/>
            <wp:wrapSquare wrapText="bothSides"/>
            <wp:docPr id="2" name="Picture 2" descr="X:\TRAFFIC_NONPROJECTS\TRAFFIC_SPECIAL_PROVISIONS\ELECTRICAL\Proposed_Updated-Not_Yet_Approved\Video_Detection_Working_group\Updated camera details\20170412\TR_DET_EXT_BRACKET_VIDEO_4-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TRAFFIC_NONPROJECTS\TRAFFIC_SPECIAL_PROVISIONS\ELECTRICAL\Proposed_Updated-Not_Yet_Approved\Video_Detection_Working_group\Updated camera details\20170412\TR_DET_EXT_BRACKET_VIDEO_4-1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54340" cy="622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4BE8" w:rsidRPr="00D21C01">
      <w:headerReference w:type="default" r:id="rId10"/>
      <w:footerReference w:type="default" r:id="rId11"/>
      <w:pgSz w:w="12240" w:h="15840"/>
      <w:pgMar w:top="2160" w:right="1440" w:bottom="1080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B4" w:rsidRDefault="00FE7CB4">
      <w:r>
        <w:separator/>
      </w:r>
    </w:p>
  </w:endnote>
  <w:endnote w:type="continuationSeparator" w:id="0">
    <w:p w:rsidR="00FE7CB4" w:rsidRDefault="00FE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D1" w:rsidRDefault="003224EA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 w:rsidR="008546D1">
      <w:tab/>
    </w:r>
    <w:r w:rsidR="008546D1">
      <w:rPr>
        <w:rStyle w:val="PageNumber"/>
      </w:rPr>
      <w:tab/>
      <w:t>item #11122</w:t>
    </w:r>
    <w:r w:rsidR="00067299">
      <w:rPr>
        <w:rStyle w:val="PageNumber"/>
      </w:rPr>
      <w:t>85</w:t>
    </w:r>
    <w:r w:rsidR="00271EB3">
      <w:rPr>
        <w:rStyle w:val="PageNumber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B4" w:rsidRDefault="00FE7CB4">
      <w:r>
        <w:separator/>
      </w:r>
    </w:p>
  </w:footnote>
  <w:footnote w:type="continuationSeparator" w:id="0">
    <w:p w:rsidR="00FE7CB4" w:rsidRDefault="00FE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D1" w:rsidRDefault="008546D1">
    <w:pPr>
      <w:pStyle w:val="Header"/>
      <w:jc w:val="right"/>
    </w:pPr>
    <w:r>
      <w:t xml:space="preserve">Rev. Date </w:t>
    </w:r>
    <w:r w:rsidR="00DB52A9">
      <w:t>02-17</w:t>
    </w:r>
  </w:p>
  <w:p w:rsidR="008546D1" w:rsidRPr="00B00FEF" w:rsidRDefault="008546D1">
    <w:pPr>
      <w:pStyle w:val="Header"/>
      <w:jc w:val="right"/>
      <w:rPr>
        <w:sz w:val="14"/>
        <w:szCs w:val="14"/>
      </w:rPr>
    </w:pP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PAGE </w:instrText>
    </w:r>
    <w:r w:rsidRPr="00B00FEF">
      <w:rPr>
        <w:rStyle w:val="PageNumber"/>
        <w:sz w:val="14"/>
        <w:szCs w:val="14"/>
      </w:rPr>
      <w:fldChar w:fldCharType="separate"/>
    </w:r>
    <w:r w:rsidR="001C4B65">
      <w:rPr>
        <w:rStyle w:val="PageNumber"/>
        <w:noProof/>
        <w:sz w:val="14"/>
        <w:szCs w:val="14"/>
      </w:rPr>
      <w:t>3</w:t>
    </w:r>
    <w:r w:rsidRPr="00B00FEF">
      <w:rPr>
        <w:rStyle w:val="PageNumber"/>
        <w:sz w:val="14"/>
        <w:szCs w:val="14"/>
      </w:rPr>
      <w:fldChar w:fldCharType="end"/>
    </w:r>
    <w:r w:rsidRPr="00B00FEF">
      <w:rPr>
        <w:rStyle w:val="PageNumber"/>
        <w:sz w:val="14"/>
        <w:szCs w:val="14"/>
      </w:rPr>
      <w:t xml:space="preserve"> of </w:t>
    </w: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NUMPAGES </w:instrText>
    </w:r>
    <w:r w:rsidRPr="00B00FEF">
      <w:rPr>
        <w:rStyle w:val="PageNumber"/>
        <w:sz w:val="14"/>
        <w:szCs w:val="14"/>
      </w:rPr>
      <w:fldChar w:fldCharType="separate"/>
    </w:r>
    <w:r w:rsidR="001C4B65">
      <w:rPr>
        <w:rStyle w:val="PageNumber"/>
        <w:noProof/>
        <w:sz w:val="14"/>
        <w:szCs w:val="14"/>
      </w:rPr>
      <w:t>4</w:t>
    </w:r>
    <w:r w:rsidRPr="00B00FEF">
      <w:rPr>
        <w:rStyle w:val="PageNumber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F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37F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374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D437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193D37"/>
    <w:multiLevelType w:val="multilevel"/>
    <w:tmpl w:val="26AC0E9E"/>
    <w:lvl w:ilvl="0">
      <w:start w:val="1"/>
      <w:numFmt w:val="lowerLetter"/>
      <w:lvlText w:val="(%1)"/>
      <w:lvlJc w:val="left"/>
      <w:pPr>
        <w:tabs>
          <w:tab w:val="num" w:pos="1512"/>
        </w:tabs>
        <w:ind w:left="1512" w:hanging="792"/>
      </w:pPr>
    </w:lvl>
    <w:lvl w:ilvl="1">
      <w:start w:val="1"/>
      <w:numFmt w:val="decimal"/>
      <w:lvlText w:val="(%2)"/>
      <w:lvlJc w:val="left"/>
      <w:pPr>
        <w:tabs>
          <w:tab w:val="num" w:pos="2232"/>
        </w:tabs>
        <w:ind w:left="2232" w:hanging="79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51163F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0AD7056"/>
    <w:multiLevelType w:val="hybridMultilevel"/>
    <w:tmpl w:val="B87E3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1C035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D76E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9145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91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48061B"/>
    <w:multiLevelType w:val="singleLevel"/>
    <w:tmpl w:val="C728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F6A60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FE834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3035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C278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C37345"/>
    <w:multiLevelType w:val="singleLevel"/>
    <w:tmpl w:val="7B005272"/>
    <w:lvl w:ilvl="0">
      <w:start w:val="1200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28"/>
      </w:rPr>
    </w:lvl>
  </w:abstractNum>
  <w:abstractNum w:abstractNumId="17">
    <w:nsid w:val="3C221A6A"/>
    <w:multiLevelType w:val="singleLevel"/>
    <w:tmpl w:val="238C003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A800EF"/>
    <w:multiLevelType w:val="hybridMultilevel"/>
    <w:tmpl w:val="E174D8B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AA43C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B4D1B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E263D00"/>
    <w:multiLevelType w:val="singleLevel"/>
    <w:tmpl w:val="77B8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D86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2532B9"/>
    <w:multiLevelType w:val="singleLevel"/>
    <w:tmpl w:val="DA5E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9E91B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705453"/>
    <w:multiLevelType w:val="singleLevel"/>
    <w:tmpl w:val="1018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39B75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607FA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68764B74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D2337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B1408B6"/>
    <w:multiLevelType w:val="singleLevel"/>
    <w:tmpl w:val="04090001"/>
    <w:lvl w:ilvl="0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</w:abstractNum>
  <w:abstractNum w:abstractNumId="31">
    <w:nsid w:val="7F616F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28"/>
  </w:num>
  <w:num w:numId="5">
    <w:abstractNumId w:val="11"/>
  </w:num>
  <w:num w:numId="6">
    <w:abstractNumId w:val="23"/>
  </w:num>
  <w:num w:numId="7">
    <w:abstractNumId w:val="5"/>
  </w:num>
  <w:num w:numId="8">
    <w:abstractNumId w:val="0"/>
  </w:num>
  <w:num w:numId="9">
    <w:abstractNumId w:val="17"/>
  </w:num>
  <w:num w:numId="10">
    <w:abstractNumId w:val="25"/>
  </w:num>
  <w:num w:numId="11">
    <w:abstractNumId w:val="30"/>
  </w:num>
  <w:num w:numId="12">
    <w:abstractNumId w:val="24"/>
  </w:num>
  <w:num w:numId="13">
    <w:abstractNumId w:val="8"/>
  </w:num>
  <w:num w:numId="14">
    <w:abstractNumId w:val="2"/>
  </w:num>
  <w:num w:numId="15">
    <w:abstractNumId w:val="20"/>
  </w:num>
  <w:num w:numId="16">
    <w:abstractNumId w:val="31"/>
  </w:num>
  <w:num w:numId="17">
    <w:abstractNumId w:val="27"/>
  </w:num>
  <w:num w:numId="18">
    <w:abstractNumId w:val="14"/>
  </w:num>
  <w:num w:numId="19">
    <w:abstractNumId w:val="10"/>
  </w:num>
  <w:num w:numId="20">
    <w:abstractNumId w:val="7"/>
  </w:num>
  <w:num w:numId="21">
    <w:abstractNumId w:val="22"/>
  </w:num>
  <w:num w:numId="22">
    <w:abstractNumId w:val="3"/>
  </w:num>
  <w:num w:numId="23">
    <w:abstractNumId w:val="18"/>
  </w:num>
  <w:num w:numId="24">
    <w:abstractNumId w:val="19"/>
  </w:num>
  <w:num w:numId="25">
    <w:abstractNumId w:val="9"/>
  </w:num>
  <w:num w:numId="26">
    <w:abstractNumId w:val="26"/>
  </w:num>
  <w:num w:numId="27">
    <w:abstractNumId w:val="12"/>
  </w:num>
  <w:num w:numId="28">
    <w:abstractNumId w:val="13"/>
  </w:num>
  <w:num w:numId="29">
    <w:abstractNumId w:val="29"/>
  </w:num>
  <w:num w:numId="30">
    <w:abstractNumId w:val="1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51"/>
    <w:rsid w:val="00003D49"/>
    <w:rsid w:val="00005F11"/>
    <w:rsid w:val="0000789F"/>
    <w:rsid w:val="0001150E"/>
    <w:rsid w:val="00035220"/>
    <w:rsid w:val="00035716"/>
    <w:rsid w:val="00045CB8"/>
    <w:rsid w:val="000632C2"/>
    <w:rsid w:val="00067299"/>
    <w:rsid w:val="00073343"/>
    <w:rsid w:val="0008352F"/>
    <w:rsid w:val="00087515"/>
    <w:rsid w:val="000A07AD"/>
    <w:rsid w:val="000A3D29"/>
    <w:rsid w:val="000C2BA4"/>
    <w:rsid w:val="000E0E2D"/>
    <w:rsid w:val="000E23F7"/>
    <w:rsid w:val="000F203D"/>
    <w:rsid w:val="00101A98"/>
    <w:rsid w:val="00112395"/>
    <w:rsid w:val="00112A0D"/>
    <w:rsid w:val="00124FE6"/>
    <w:rsid w:val="001269DC"/>
    <w:rsid w:val="00126C61"/>
    <w:rsid w:val="00130610"/>
    <w:rsid w:val="00151BF7"/>
    <w:rsid w:val="0015318A"/>
    <w:rsid w:val="00155020"/>
    <w:rsid w:val="00163A4D"/>
    <w:rsid w:val="00173599"/>
    <w:rsid w:val="00177171"/>
    <w:rsid w:val="00187518"/>
    <w:rsid w:val="001A24D5"/>
    <w:rsid w:val="001A6846"/>
    <w:rsid w:val="001C17D3"/>
    <w:rsid w:val="001C4B65"/>
    <w:rsid w:val="001F1AC0"/>
    <w:rsid w:val="001F1C29"/>
    <w:rsid w:val="001F3EC2"/>
    <w:rsid w:val="001F4029"/>
    <w:rsid w:val="002009D6"/>
    <w:rsid w:val="0024001A"/>
    <w:rsid w:val="002413DF"/>
    <w:rsid w:val="00261DCD"/>
    <w:rsid w:val="00271EB3"/>
    <w:rsid w:val="00272C0D"/>
    <w:rsid w:val="00276668"/>
    <w:rsid w:val="002A5AAF"/>
    <w:rsid w:val="002B3F55"/>
    <w:rsid w:val="002C71DF"/>
    <w:rsid w:val="002D0D02"/>
    <w:rsid w:val="002F583D"/>
    <w:rsid w:val="003224EA"/>
    <w:rsid w:val="0033084B"/>
    <w:rsid w:val="003341A4"/>
    <w:rsid w:val="003375E9"/>
    <w:rsid w:val="0034377B"/>
    <w:rsid w:val="00357937"/>
    <w:rsid w:val="0037451B"/>
    <w:rsid w:val="003A1012"/>
    <w:rsid w:val="003B1568"/>
    <w:rsid w:val="003C45C2"/>
    <w:rsid w:val="003D1F1D"/>
    <w:rsid w:val="003E0A45"/>
    <w:rsid w:val="004169CB"/>
    <w:rsid w:val="0043299D"/>
    <w:rsid w:val="0043386B"/>
    <w:rsid w:val="00435D55"/>
    <w:rsid w:val="00436932"/>
    <w:rsid w:val="004469AC"/>
    <w:rsid w:val="00471BC2"/>
    <w:rsid w:val="00474BEC"/>
    <w:rsid w:val="00477C51"/>
    <w:rsid w:val="004846C2"/>
    <w:rsid w:val="00487D89"/>
    <w:rsid w:val="00494F19"/>
    <w:rsid w:val="004A1F70"/>
    <w:rsid w:val="004A7315"/>
    <w:rsid w:val="004D3054"/>
    <w:rsid w:val="004D6B79"/>
    <w:rsid w:val="004F6E52"/>
    <w:rsid w:val="00512095"/>
    <w:rsid w:val="00534A28"/>
    <w:rsid w:val="00561C2B"/>
    <w:rsid w:val="00576106"/>
    <w:rsid w:val="005806E1"/>
    <w:rsid w:val="00594B4C"/>
    <w:rsid w:val="005A0E15"/>
    <w:rsid w:val="005A48E5"/>
    <w:rsid w:val="005D7982"/>
    <w:rsid w:val="005E0CC1"/>
    <w:rsid w:val="005E6467"/>
    <w:rsid w:val="00607539"/>
    <w:rsid w:val="00615798"/>
    <w:rsid w:val="00630C4F"/>
    <w:rsid w:val="00632BBB"/>
    <w:rsid w:val="00635311"/>
    <w:rsid w:val="006433F0"/>
    <w:rsid w:val="00654D4F"/>
    <w:rsid w:val="0066519A"/>
    <w:rsid w:val="0067069E"/>
    <w:rsid w:val="00681A80"/>
    <w:rsid w:val="006912F0"/>
    <w:rsid w:val="006A51F8"/>
    <w:rsid w:val="006B5AAF"/>
    <w:rsid w:val="006B727D"/>
    <w:rsid w:val="006D7D46"/>
    <w:rsid w:val="006E13D7"/>
    <w:rsid w:val="006E54C4"/>
    <w:rsid w:val="00731257"/>
    <w:rsid w:val="007379C2"/>
    <w:rsid w:val="00740121"/>
    <w:rsid w:val="00743DB0"/>
    <w:rsid w:val="00762AF5"/>
    <w:rsid w:val="00784BE8"/>
    <w:rsid w:val="007852B4"/>
    <w:rsid w:val="007B32FD"/>
    <w:rsid w:val="007D3138"/>
    <w:rsid w:val="007D6674"/>
    <w:rsid w:val="007E6337"/>
    <w:rsid w:val="007F3C19"/>
    <w:rsid w:val="00802F3A"/>
    <w:rsid w:val="008248F4"/>
    <w:rsid w:val="00836070"/>
    <w:rsid w:val="008546D1"/>
    <w:rsid w:val="0085741B"/>
    <w:rsid w:val="00872704"/>
    <w:rsid w:val="00892999"/>
    <w:rsid w:val="008A78A9"/>
    <w:rsid w:val="008C4A90"/>
    <w:rsid w:val="008D3A3F"/>
    <w:rsid w:val="008D436C"/>
    <w:rsid w:val="008E39BA"/>
    <w:rsid w:val="008F3734"/>
    <w:rsid w:val="00913D12"/>
    <w:rsid w:val="00936C29"/>
    <w:rsid w:val="00942838"/>
    <w:rsid w:val="00944C8E"/>
    <w:rsid w:val="00954334"/>
    <w:rsid w:val="00970BA6"/>
    <w:rsid w:val="009779A9"/>
    <w:rsid w:val="00981A58"/>
    <w:rsid w:val="0098572D"/>
    <w:rsid w:val="009A2AEC"/>
    <w:rsid w:val="009B2330"/>
    <w:rsid w:val="009E5013"/>
    <w:rsid w:val="009E6542"/>
    <w:rsid w:val="009F00D1"/>
    <w:rsid w:val="00A03907"/>
    <w:rsid w:val="00A620AD"/>
    <w:rsid w:val="00A91B90"/>
    <w:rsid w:val="00AA18C0"/>
    <w:rsid w:val="00AB2E1E"/>
    <w:rsid w:val="00AC555D"/>
    <w:rsid w:val="00AD2433"/>
    <w:rsid w:val="00AE79E9"/>
    <w:rsid w:val="00AF0AA6"/>
    <w:rsid w:val="00B00FEF"/>
    <w:rsid w:val="00B52246"/>
    <w:rsid w:val="00B55E1E"/>
    <w:rsid w:val="00B778C6"/>
    <w:rsid w:val="00B90093"/>
    <w:rsid w:val="00BA6F3B"/>
    <w:rsid w:val="00BC5591"/>
    <w:rsid w:val="00BD41E1"/>
    <w:rsid w:val="00BE5EF5"/>
    <w:rsid w:val="00C11982"/>
    <w:rsid w:val="00C21C6E"/>
    <w:rsid w:val="00C33257"/>
    <w:rsid w:val="00C55D6C"/>
    <w:rsid w:val="00C6712E"/>
    <w:rsid w:val="00C67D2D"/>
    <w:rsid w:val="00C93076"/>
    <w:rsid w:val="00CA4DE7"/>
    <w:rsid w:val="00CB5C3E"/>
    <w:rsid w:val="00CC002C"/>
    <w:rsid w:val="00CC5863"/>
    <w:rsid w:val="00CD6F84"/>
    <w:rsid w:val="00CF3A7D"/>
    <w:rsid w:val="00D001A9"/>
    <w:rsid w:val="00D14E9D"/>
    <w:rsid w:val="00D21C01"/>
    <w:rsid w:val="00D21DA2"/>
    <w:rsid w:val="00D325C6"/>
    <w:rsid w:val="00D42868"/>
    <w:rsid w:val="00D6018C"/>
    <w:rsid w:val="00D61A30"/>
    <w:rsid w:val="00D61A4B"/>
    <w:rsid w:val="00D6463F"/>
    <w:rsid w:val="00D64CAE"/>
    <w:rsid w:val="00D726A8"/>
    <w:rsid w:val="00D829FC"/>
    <w:rsid w:val="00D95E1A"/>
    <w:rsid w:val="00DB1FF5"/>
    <w:rsid w:val="00DB52A9"/>
    <w:rsid w:val="00DD0E7A"/>
    <w:rsid w:val="00DE1936"/>
    <w:rsid w:val="00DF32F3"/>
    <w:rsid w:val="00E00051"/>
    <w:rsid w:val="00E00446"/>
    <w:rsid w:val="00E444CA"/>
    <w:rsid w:val="00E55304"/>
    <w:rsid w:val="00E73FCF"/>
    <w:rsid w:val="00E76FB4"/>
    <w:rsid w:val="00E7767B"/>
    <w:rsid w:val="00E87AC5"/>
    <w:rsid w:val="00E95530"/>
    <w:rsid w:val="00EA663A"/>
    <w:rsid w:val="00EB459A"/>
    <w:rsid w:val="00EE6085"/>
    <w:rsid w:val="00F13C62"/>
    <w:rsid w:val="00F27314"/>
    <w:rsid w:val="00F34A7F"/>
    <w:rsid w:val="00F45CF9"/>
    <w:rsid w:val="00F46028"/>
    <w:rsid w:val="00F5398B"/>
    <w:rsid w:val="00F565F7"/>
    <w:rsid w:val="00F72923"/>
    <w:rsid w:val="00F74985"/>
    <w:rsid w:val="00FA4120"/>
    <w:rsid w:val="00FB02CF"/>
    <w:rsid w:val="00FB4D6A"/>
    <w:rsid w:val="00FC10F6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pPr>
      <w:tabs>
        <w:tab w:val="center" w:pos="4320"/>
        <w:tab w:val="center" w:pos="9360"/>
      </w:tabs>
    </w:pPr>
    <w:rPr>
      <w:sz w:val="20"/>
    </w:rPr>
  </w:style>
  <w:style w:type="paragraph" w:styleId="BodyTextIndent2">
    <w:name w:val="Body Text Indent 2"/>
    <w:basedOn w:val="Normal"/>
    <w:rsid w:val="00477C51"/>
    <w:pPr>
      <w:spacing w:after="120" w:line="480" w:lineRule="auto"/>
      <w:ind w:left="360"/>
    </w:p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paragraph" w:styleId="BalloonText">
    <w:name w:val="Balloon Text"/>
    <w:basedOn w:val="Normal"/>
    <w:semiHidden/>
    <w:rsid w:val="003437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A73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3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7315"/>
  </w:style>
  <w:style w:type="paragraph" w:styleId="CommentSubject">
    <w:name w:val="annotation subject"/>
    <w:basedOn w:val="CommentText"/>
    <w:next w:val="CommentText"/>
    <w:link w:val="CommentSubjectChar"/>
    <w:rsid w:val="004A7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7315"/>
    <w:rPr>
      <w:b/>
      <w:bCs/>
    </w:rPr>
  </w:style>
  <w:style w:type="paragraph" w:styleId="ListParagraph">
    <w:name w:val="List Paragraph"/>
    <w:basedOn w:val="Normal"/>
    <w:uiPriority w:val="34"/>
    <w:qFormat/>
    <w:rsid w:val="00C67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pPr>
      <w:tabs>
        <w:tab w:val="center" w:pos="4320"/>
        <w:tab w:val="center" w:pos="9360"/>
      </w:tabs>
    </w:pPr>
    <w:rPr>
      <w:sz w:val="20"/>
    </w:rPr>
  </w:style>
  <w:style w:type="paragraph" w:styleId="BodyTextIndent2">
    <w:name w:val="Body Text Indent 2"/>
    <w:basedOn w:val="Normal"/>
    <w:rsid w:val="00477C51"/>
    <w:pPr>
      <w:spacing w:after="120" w:line="480" w:lineRule="auto"/>
      <w:ind w:left="360"/>
    </w:p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paragraph" w:styleId="BalloonText">
    <w:name w:val="Balloon Text"/>
    <w:basedOn w:val="Normal"/>
    <w:semiHidden/>
    <w:rsid w:val="003437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A73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3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7315"/>
  </w:style>
  <w:style w:type="paragraph" w:styleId="CommentSubject">
    <w:name w:val="annotation subject"/>
    <w:basedOn w:val="CommentText"/>
    <w:next w:val="CommentText"/>
    <w:link w:val="CommentSubjectChar"/>
    <w:rsid w:val="004A7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7315"/>
    <w:rPr>
      <w:b/>
      <w:bCs/>
    </w:rPr>
  </w:style>
  <w:style w:type="paragraph" w:styleId="ListParagraph">
    <w:name w:val="List Paragraph"/>
    <w:basedOn w:val="Normal"/>
    <w:uiPriority w:val="34"/>
    <w:qFormat/>
    <w:rsid w:val="00C6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counting\Raiola%20Web\Special%20Provi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6D3A-C282-47EF-BAA9-B95C16D9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 template</Template>
  <TotalTime>1</TotalTime>
  <Pages>4</Pages>
  <Words>642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text:</vt:lpstr>
    </vt:vector>
  </TitlesOfParts>
  <Company>State of Connecticut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text:</dc:title>
  <dc:creator>swinburnedk</dc:creator>
  <cp:lastModifiedBy>Polineni, Raja </cp:lastModifiedBy>
  <cp:revision>3</cp:revision>
  <cp:lastPrinted>2015-05-28T18:55:00Z</cp:lastPrinted>
  <dcterms:created xsi:type="dcterms:W3CDTF">2017-04-12T11:50:00Z</dcterms:created>
  <dcterms:modified xsi:type="dcterms:W3CDTF">2018-02-27T18:58:00Z</dcterms:modified>
  <cp:category>ContractChecked_02/07/2006</cp:category>
</cp:coreProperties>
</file>