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91" w:rsidRDefault="00755991" w:rsidP="00755991">
      <w:pPr>
        <w:pStyle w:val="SpecHead1"/>
        <w:rPr>
          <w:sz w:val="28"/>
          <w:szCs w:val="28"/>
        </w:rPr>
      </w:pPr>
      <w:r>
        <w:rPr>
          <w:sz w:val="28"/>
          <w:szCs w:val="28"/>
        </w:rPr>
        <w:t>ITEM</w:t>
      </w:r>
      <w:r w:rsidR="00243899">
        <w:rPr>
          <w:sz w:val="28"/>
          <w:szCs w:val="28"/>
        </w:rPr>
        <w:t xml:space="preserve"> </w:t>
      </w:r>
      <w:r>
        <w:rPr>
          <w:sz w:val="28"/>
          <w:szCs w:val="28"/>
        </w:rPr>
        <w:t>#1112</w:t>
      </w:r>
      <w:r w:rsidR="00B52C5E">
        <w:rPr>
          <w:sz w:val="28"/>
          <w:szCs w:val="28"/>
        </w:rPr>
        <w:t>284A</w:t>
      </w:r>
      <w:r w:rsidR="00FB3263">
        <w:rPr>
          <w:sz w:val="28"/>
          <w:szCs w:val="28"/>
        </w:rPr>
        <w:t xml:space="preserve"> —</w:t>
      </w:r>
      <w:r w:rsidR="006F1E0D">
        <w:rPr>
          <w:sz w:val="28"/>
          <w:szCs w:val="28"/>
        </w:rPr>
        <w:t xml:space="preserve"> </w:t>
      </w:r>
      <w:r w:rsidRPr="00755991">
        <w:rPr>
          <w:sz w:val="28"/>
          <w:szCs w:val="28"/>
        </w:rPr>
        <w:t xml:space="preserve">VEHICLE DETECTION </w:t>
      </w:r>
      <w:proofErr w:type="gramStart"/>
      <w:r w:rsidRPr="00755991">
        <w:rPr>
          <w:sz w:val="28"/>
          <w:szCs w:val="28"/>
        </w:rPr>
        <w:t>MONITOR</w:t>
      </w:r>
      <w:proofErr w:type="gramEnd"/>
    </w:p>
    <w:p w:rsidR="00E90327" w:rsidRDefault="00E90327" w:rsidP="00243899">
      <w:pPr>
        <w:pStyle w:val="SpecHead2"/>
      </w:pPr>
    </w:p>
    <w:p w:rsidR="00E90327" w:rsidRDefault="00755991" w:rsidP="00243899">
      <w:pPr>
        <w:pStyle w:val="SpecHead2"/>
      </w:pPr>
      <w:r w:rsidRPr="001269DC">
        <w:t>Description:</w:t>
      </w:r>
      <w:r w:rsidR="00243899">
        <w:t xml:space="preserve">  </w:t>
      </w:r>
    </w:p>
    <w:p w:rsidR="00755991" w:rsidRPr="00243899" w:rsidRDefault="00E90327" w:rsidP="00243899">
      <w:pPr>
        <w:pStyle w:val="SpecHead2"/>
        <w:rPr>
          <w:b w:val="0"/>
        </w:rPr>
      </w:pPr>
      <w:r>
        <w:t xml:space="preserve">     </w:t>
      </w:r>
      <w:r w:rsidR="00755991" w:rsidRPr="00243899">
        <w:rPr>
          <w:b w:val="0"/>
        </w:rPr>
        <w:t xml:space="preserve">Furnish and install a Vehicle Detection Monitor </w:t>
      </w:r>
      <w:r w:rsidR="00913C9B">
        <w:rPr>
          <w:b w:val="0"/>
        </w:rPr>
        <w:t xml:space="preserve">with stand </w:t>
      </w:r>
      <w:r w:rsidR="00755991" w:rsidRPr="00243899">
        <w:rPr>
          <w:b w:val="0"/>
        </w:rPr>
        <w:t xml:space="preserve">in the Controller Cabinet. </w:t>
      </w:r>
    </w:p>
    <w:p w:rsidR="00755991" w:rsidRPr="004673EF" w:rsidRDefault="00755991" w:rsidP="004673EF">
      <w:pPr>
        <w:pStyle w:val="SpecHead2"/>
        <w:rPr>
          <w:b w:val="0"/>
        </w:rPr>
      </w:pPr>
    </w:p>
    <w:p w:rsidR="00E90327" w:rsidRDefault="00755991" w:rsidP="00755991">
      <w:pPr>
        <w:pStyle w:val="SpecHead2"/>
        <w:rPr>
          <w:b w:val="0"/>
        </w:rPr>
      </w:pPr>
      <w:r w:rsidRPr="001269DC">
        <w:t>Materials</w:t>
      </w:r>
      <w:r w:rsidRPr="00243899">
        <w:rPr>
          <w:b w:val="0"/>
        </w:rPr>
        <w:t>:</w:t>
      </w:r>
    </w:p>
    <w:p w:rsidR="00755991" w:rsidRPr="00243899" w:rsidRDefault="00E90327" w:rsidP="00755991">
      <w:pPr>
        <w:pStyle w:val="SpecHead2"/>
        <w:rPr>
          <w:b w:val="0"/>
        </w:rPr>
      </w:pPr>
      <w:r>
        <w:rPr>
          <w:b w:val="0"/>
        </w:rPr>
        <w:t xml:space="preserve">     </w:t>
      </w:r>
      <w:r w:rsidR="00755991" w:rsidRPr="00243899">
        <w:rPr>
          <w:b w:val="0"/>
        </w:rPr>
        <w:t>All hardware shall be new, corrosion</w:t>
      </w:r>
      <w:r w:rsidR="004673EF">
        <w:rPr>
          <w:b w:val="0"/>
        </w:rPr>
        <w:t>-</w:t>
      </w:r>
      <w:r w:rsidR="00755991" w:rsidRPr="00243899">
        <w:rPr>
          <w:b w:val="0"/>
        </w:rPr>
        <w:t xml:space="preserve">resistant. </w:t>
      </w:r>
      <w:r w:rsidR="004673EF">
        <w:rPr>
          <w:b w:val="0"/>
        </w:rPr>
        <w:t xml:space="preserve"> </w:t>
      </w:r>
      <w:r w:rsidR="00755991" w:rsidRPr="00243899">
        <w:rPr>
          <w:b w:val="0"/>
        </w:rPr>
        <w:t>All equipment shall be current production.</w:t>
      </w:r>
    </w:p>
    <w:p w:rsidR="00755991" w:rsidRPr="00755991" w:rsidRDefault="00755991" w:rsidP="00243899">
      <w:pPr>
        <w:pStyle w:val="SpecHead2"/>
        <w:ind w:firstLine="360"/>
      </w:pPr>
      <w:r w:rsidRPr="001269DC">
        <w:t>Physical:</w:t>
      </w:r>
    </w:p>
    <w:p w:rsidR="00755991" w:rsidRPr="00651B4A" w:rsidRDefault="00755991" w:rsidP="00651B4A">
      <w:pPr>
        <w:numPr>
          <w:ilvl w:val="0"/>
          <w:numId w:val="1"/>
        </w:numPr>
        <w:tabs>
          <w:tab w:val="clear" w:pos="360"/>
          <w:tab w:val="num" w:pos="900"/>
        </w:tabs>
        <w:ind w:left="1080"/>
      </w:pPr>
      <w:r w:rsidRPr="00651B4A">
        <w:t xml:space="preserve">Compact and easily accessible </w:t>
      </w:r>
      <w:r w:rsidR="00651B4A" w:rsidRPr="00651B4A">
        <w:t>stand</w:t>
      </w:r>
      <w:r w:rsidR="004673EF">
        <w:t>-</w:t>
      </w:r>
      <w:r w:rsidR="00651B4A" w:rsidRPr="00651B4A">
        <w:t>mounted LCD/ LED</w:t>
      </w:r>
      <w:r w:rsidRPr="00651B4A">
        <w:t xml:space="preserve"> Flat Panel Display.</w:t>
      </w:r>
    </w:p>
    <w:p w:rsidR="00755991" w:rsidRPr="00651B4A" w:rsidRDefault="00651B4A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</w:pPr>
      <w:r w:rsidRPr="00651B4A">
        <w:t>Diagonal screen size minimum 10</w:t>
      </w:r>
      <w:r w:rsidR="00877A30">
        <w:t xml:space="preserve"> inches and</w:t>
      </w:r>
      <w:r w:rsidRPr="00651B4A">
        <w:t xml:space="preserve"> maximum 15</w:t>
      </w:r>
      <w:r w:rsidR="00877A30">
        <w:t xml:space="preserve"> inches</w:t>
      </w:r>
      <w:r w:rsidR="00755991" w:rsidRPr="00651B4A">
        <w:t>.</w:t>
      </w:r>
    </w:p>
    <w:p w:rsidR="00755991" w:rsidRPr="00651B4A" w:rsidRDefault="00755991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  <w:rPr>
          <w:b/>
        </w:rPr>
      </w:pPr>
      <w:r w:rsidRPr="00651B4A">
        <w:t xml:space="preserve">Withstand temperatures ranging </w:t>
      </w:r>
      <w:r w:rsidR="006F1E0D" w:rsidRPr="00651B4A">
        <w:t>from -4 to 140</w:t>
      </w:r>
      <w:r w:rsidR="006F1E0D">
        <w:t>°</w:t>
      </w:r>
      <w:r w:rsidR="006F1E0D" w:rsidRPr="00651B4A">
        <w:t xml:space="preserve">F </w:t>
      </w:r>
      <w:r w:rsidR="00651B4A" w:rsidRPr="00651B4A">
        <w:t>(</w:t>
      </w:r>
      <w:r w:rsidR="006F1E0D" w:rsidRPr="00651B4A">
        <w:t>-20 to 60</w:t>
      </w:r>
      <w:r w:rsidR="006F1E0D">
        <w:t>°C</w:t>
      </w:r>
      <w:r w:rsidRPr="00651B4A">
        <w:t>)</w:t>
      </w:r>
      <w:r w:rsidR="00651B4A" w:rsidRPr="00651B4A">
        <w:t>.</w:t>
      </w:r>
      <w:r w:rsidR="006F1E0D" w:rsidRPr="00651B4A">
        <w:rPr>
          <w:b/>
        </w:rPr>
        <w:t xml:space="preserve"> </w:t>
      </w:r>
    </w:p>
    <w:p w:rsidR="00651B4A" w:rsidRPr="00651B4A" w:rsidRDefault="00651B4A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</w:pPr>
      <w:r w:rsidRPr="00651B4A">
        <w:t xml:space="preserve">Operating humidity: 10-90% non-condensing. </w:t>
      </w:r>
    </w:p>
    <w:p w:rsidR="00755991" w:rsidRPr="001269DC" w:rsidRDefault="00755991" w:rsidP="00755991">
      <w:pPr>
        <w:ind w:left="720"/>
      </w:pPr>
    </w:p>
    <w:p w:rsidR="00755991" w:rsidRPr="00755991" w:rsidRDefault="00755991" w:rsidP="00243899">
      <w:pPr>
        <w:pStyle w:val="SpecHead2"/>
        <w:ind w:firstLine="360"/>
      </w:pPr>
      <w:r w:rsidRPr="001269DC">
        <w:t>Functional:</w:t>
      </w:r>
    </w:p>
    <w:p w:rsidR="00755991" w:rsidRPr="00651B4A" w:rsidRDefault="00755991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</w:pPr>
      <w:r w:rsidRPr="00651B4A">
        <w:t>Compatible with Color or Monochrome Detection systems.</w:t>
      </w:r>
    </w:p>
    <w:p w:rsidR="00755991" w:rsidRPr="00651B4A" w:rsidRDefault="00755991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</w:pPr>
      <w:r w:rsidRPr="00651B4A">
        <w:t>Industrial</w:t>
      </w:r>
      <w:r w:rsidR="0057000B">
        <w:t>-</w:t>
      </w:r>
      <w:r w:rsidRPr="00651B4A">
        <w:t>grade video panel.</w:t>
      </w:r>
    </w:p>
    <w:p w:rsidR="00755991" w:rsidRPr="00651B4A" w:rsidRDefault="00755991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</w:pPr>
      <w:r w:rsidRPr="00651B4A">
        <w:t>ANSI contrast ratio of 300:1 minimum.</w:t>
      </w:r>
    </w:p>
    <w:p w:rsidR="00755991" w:rsidRPr="00651B4A" w:rsidRDefault="00180A70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</w:pPr>
      <w:r>
        <w:t>Minimum brightness level: 400 candelas per square meter (4</w:t>
      </w:r>
      <w:r w:rsidR="00755991" w:rsidRPr="00651B4A">
        <w:t>00 lux).</w:t>
      </w:r>
    </w:p>
    <w:p w:rsidR="00651B4A" w:rsidRPr="00651B4A" w:rsidRDefault="00651B4A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  <w:rPr>
          <w:b/>
        </w:rPr>
      </w:pPr>
      <w:r w:rsidRPr="00651B4A">
        <w:t xml:space="preserve">Native </w:t>
      </w:r>
      <w:r w:rsidR="00755991" w:rsidRPr="00651B4A">
        <w:t>resolution</w:t>
      </w:r>
      <w:r w:rsidRPr="00651B4A">
        <w:t>s: 1024 (horizontal) x 768</w:t>
      </w:r>
      <w:r w:rsidR="00755991" w:rsidRPr="00651B4A">
        <w:t xml:space="preserve"> (vertical)</w:t>
      </w:r>
      <w:r w:rsidRPr="00651B4A">
        <w:t>.</w:t>
      </w:r>
      <w:r w:rsidR="00755991" w:rsidRPr="00651B4A">
        <w:t xml:space="preserve"> </w:t>
      </w:r>
    </w:p>
    <w:p w:rsidR="00755991" w:rsidRPr="00651B4A" w:rsidRDefault="00755991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  <w:rPr>
          <w:b/>
        </w:rPr>
      </w:pPr>
      <w:r w:rsidRPr="00651B4A">
        <w:t>Support both</w:t>
      </w:r>
      <w:r w:rsidR="006F1E0D">
        <w:t xml:space="preserve"> National Television Standards Committee (NTSC) and Phase Alternating Line (PAL) </w:t>
      </w:r>
      <w:r w:rsidRPr="00651B4A">
        <w:t>video formats with auto-sensing.</w:t>
      </w:r>
    </w:p>
    <w:p w:rsidR="00755991" w:rsidRPr="00651B4A" w:rsidRDefault="00755991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  <w:rPr>
          <w:b/>
        </w:rPr>
      </w:pPr>
      <w:r w:rsidRPr="00651B4A">
        <w:t>Minimum viewing angle: 140 degrees horizontally, 120 degrees vertically.</w:t>
      </w:r>
    </w:p>
    <w:p w:rsidR="00755991" w:rsidRPr="00651B4A" w:rsidRDefault="00755991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  <w:rPr>
          <w:b/>
        </w:rPr>
      </w:pPr>
      <w:r w:rsidRPr="00651B4A">
        <w:t>On-Screen Display (OSD) controls brightness, contrast, color as well as horizontal and vertical positioning.</w:t>
      </w:r>
    </w:p>
    <w:p w:rsidR="00755991" w:rsidRPr="00651B4A" w:rsidRDefault="00755991" w:rsidP="00755991">
      <w:pPr>
        <w:numPr>
          <w:ilvl w:val="0"/>
          <w:numId w:val="1"/>
        </w:numPr>
        <w:tabs>
          <w:tab w:val="clear" w:pos="360"/>
          <w:tab w:val="num" w:pos="1800"/>
        </w:tabs>
        <w:ind w:left="1080"/>
      </w:pPr>
      <w:r w:rsidRPr="00651B4A">
        <w:t xml:space="preserve">Compatible with </w:t>
      </w:r>
      <w:r w:rsidR="00651B4A">
        <w:t xml:space="preserve">video detection </w:t>
      </w:r>
      <w:r w:rsidRPr="00651B4A">
        <w:t>processor output</w:t>
      </w:r>
      <w:r w:rsidR="00651B4A" w:rsidRPr="00651B4A">
        <w:t>.</w:t>
      </w:r>
      <w:r w:rsidR="00651B4A">
        <w:t xml:space="preserve"> </w:t>
      </w:r>
      <w:r w:rsidR="004673EF">
        <w:t xml:space="preserve"> </w:t>
      </w:r>
      <w:r w:rsidR="00651B4A">
        <w:t>Use appropriate converters</w:t>
      </w:r>
      <w:r w:rsidR="00B30404">
        <w:t>/ adapters</w:t>
      </w:r>
      <w:r w:rsidR="00651B4A">
        <w:t xml:space="preserve"> if necessary.</w:t>
      </w:r>
    </w:p>
    <w:p w:rsidR="00755991" w:rsidRPr="00651B4A" w:rsidRDefault="00755991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  <w:rPr>
          <w:b/>
        </w:rPr>
      </w:pPr>
      <w:r w:rsidRPr="00651B4A">
        <w:t>Operable on 110 VAC or 220 VAC, 50 or 60 Hz.</w:t>
      </w:r>
    </w:p>
    <w:p w:rsidR="00755991" w:rsidRPr="00651B4A" w:rsidRDefault="00755991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  <w:rPr>
          <w:b/>
        </w:rPr>
      </w:pPr>
      <w:r w:rsidRPr="00651B4A">
        <w:t>FCC,</w:t>
      </w:r>
      <w:r w:rsidR="00617E57">
        <w:t xml:space="preserve"> </w:t>
      </w:r>
      <w:r w:rsidR="006F1E0D" w:rsidRPr="00617E57">
        <w:t xml:space="preserve">Voluntary Control Council for Interference (VCCI), Electromagnetic Compatibility (EMC), Consumer Electronics (CE) </w:t>
      </w:r>
      <w:r w:rsidRPr="00617E57">
        <w:t>approved</w:t>
      </w:r>
      <w:r w:rsidR="00617E57" w:rsidRPr="00617E57">
        <w:t>, UL listed and Energy</w:t>
      </w:r>
      <w:r w:rsidRPr="00617E57">
        <w:t xml:space="preserve"> Star efficient.</w:t>
      </w:r>
    </w:p>
    <w:p w:rsidR="00755991" w:rsidRPr="00651B4A" w:rsidRDefault="00755991" w:rsidP="00755991">
      <w:pPr>
        <w:numPr>
          <w:ilvl w:val="0"/>
          <w:numId w:val="1"/>
        </w:numPr>
        <w:tabs>
          <w:tab w:val="clear" w:pos="360"/>
          <w:tab w:val="num" w:pos="900"/>
        </w:tabs>
        <w:ind w:left="1080"/>
        <w:rPr>
          <w:b/>
        </w:rPr>
      </w:pPr>
      <w:r w:rsidRPr="00651B4A">
        <w:t>MTBF Rating: 50,000 hours minimum.</w:t>
      </w:r>
    </w:p>
    <w:p w:rsidR="00D61410" w:rsidRDefault="00D61410" w:rsidP="00755991"/>
    <w:p w:rsidR="00E90327" w:rsidRDefault="006F1E0D" w:rsidP="004673EF">
      <w:pPr>
        <w:spacing w:line="276" w:lineRule="auto"/>
        <w:ind w:firstLine="360"/>
        <w:jc w:val="left"/>
        <w:rPr>
          <w:b/>
        </w:rPr>
      </w:pPr>
      <w:r>
        <w:rPr>
          <w:b/>
        </w:rPr>
        <w:t>Warranties and Guarantees:</w:t>
      </w:r>
    </w:p>
    <w:p w:rsidR="00755991" w:rsidRDefault="00E90327" w:rsidP="004673EF">
      <w:pPr>
        <w:spacing w:line="276" w:lineRule="auto"/>
        <w:ind w:firstLine="360"/>
        <w:jc w:val="left"/>
      </w:pPr>
      <w:r>
        <w:t xml:space="preserve">     </w:t>
      </w:r>
      <w:r w:rsidR="00755991" w:rsidRPr="001269DC">
        <w:t xml:space="preserve">Provide warranties and guarantees to the </w:t>
      </w:r>
      <w:r w:rsidR="00755991" w:rsidRPr="001269DC">
        <w:rPr>
          <w:b/>
        </w:rPr>
        <w:t>Department of Transportation Office of Maintenance</w:t>
      </w:r>
      <w:r w:rsidR="00755991" w:rsidRPr="001269DC">
        <w:t xml:space="preserve"> in accordance with Article 1.06.08 of the Standard Specifications. </w:t>
      </w:r>
      <w:r w:rsidR="004673EF">
        <w:t xml:space="preserve"> </w:t>
      </w:r>
      <w:r w:rsidR="00755991" w:rsidRPr="001269DC">
        <w:t>Warranties for all equipment furnished as part of this Contract are to cover a period of 24 months following successful completion of the entire intersection acceptance test.</w:t>
      </w:r>
    </w:p>
    <w:p w:rsidR="00913C9B" w:rsidRDefault="00913C9B" w:rsidP="0057670F">
      <w:pPr>
        <w:pStyle w:val="SpecHead2"/>
        <w:rPr>
          <w:b w:val="0"/>
        </w:rPr>
      </w:pPr>
    </w:p>
    <w:p w:rsidR="00E90327" w:rsidRDefault="00755991" w:rsidP="0057670F">
      <w:pPr>
        <w:pStyle w:val="SpecHead2"/>
      </w:pPr>
      <w:r w:rsidRPr="001269DC">
        <w:t>Method of Measurement:</w:t>
      </w:r>
    </w:p>
    <w:p w:rsidR="00755991" w:rsidRDefault="00E90327" w:rsidP="0057670F">
      <w:pPr>
        <w:pStyle w:val="SpecHead2"/>
      </w:pPr>
      <w:r>
        <w:t xml:space="preserve">     </w:t>
      </w:r>
      <w:r w:rsidR="00755991" w:rsidRPr="0057670F">
        <w:rPr>
          <w:b w:val="0"/>
        </w:rPr>
        <w:t>The Vehicle Detection Monitor will be measured for payment as the number of units furnished, installed, operational and accepted.</w:t>
      </w:r>
    </w:p>
    <w:p w:rsidR="006F1E0D" w:rsidRDefault="006F1E0D" w:rsidP="006F1E0D">
      <w:pPr>
        <w:pStyle w:val="Heading2"/>
        <w:keepLines w:val="0"/>
        <w:spacing w:before="0" w:after="6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</w:p>
    <w:p w:rsidR="00E90327" w:rsidRDefault="00755991" w:rsidP="006F1E0D">
      <w:pPr>
        <w:pStyle w:val="Heading2"/>
        <w:keepLines w:val="0"/>
        <w:spacing w:before="0" w:after="60"/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 w:rsidRPr="006F1E0D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>Basis of Payment:</w:t>
      </w:r>
    </w:p>
    <w:p w:rsidR="006F1E0D" w:rsidRDefault="00E90327" w:rsidP="006F1E0D">
      <w:pPr>
        <w:pStyle w:val="Heading2"/>
        <w:keepLines w:val="0"/>
        <w:spacing w:before="0" w:after="6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    </w:t>
      </w:r>
      <w:r w:rsidR="00755991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Th</w:t>
      </w:r>
      <w:r w:rsidR="00116645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is work will be paid at th</w:t>
      </w:r>
      <w:r w:rsidR="00755991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e </w:t>
      </w:r>
      <w:r w:rsidR="00116645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Contract </w:t>
      </w:r>
      <w:r w:rsidR="00755991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unit price for </w:t>
      </w:r>
      <w:r w:rsidR="00AC0309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each </w:t>
      </w:r>
      <w:r w:rsidR="00044454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accepted </w:t>
      </w:r>
      <w:r w:rsidR="00116645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“</w:t>
      </w:r>
      <w:r w:rsidR="00755991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Vehicle Detection Monitor</w:t>
      </w:r>
      <w:r w:rsidR="00044454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,</w:t>
      </w:r>
      <w:r w:rsidR="00116645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”</w:t>
      </w:r>
      <w:r w:rsidR="00755991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 </w:t>
      </w:r>
      <w:r w:rsidR="00AC0309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which price shall </w:t>
      </w:r>
      <w:r w:rsidR="00755991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include the Vehicle Detection Monitor, </w:t>
      </w:r>
      <w:r w:rsidR="00651B4A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stand, </w:t>
      </w:r>
      <w:r w:rsidR="00755991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documentation, warrant</w:t>
      </w:r>
      <w:r w:rsidR="00116645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y</w:t>
      </w:r>
      <w:r w:rsidR="00755991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, labor, tools and equipment </w:t>
      </w:r>
      <w:r w:rsidR="00AC0309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incidental thereto.</w:t>
      </w:r>
      <w:r w:rsidR="00044454"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 xml:space="preserve"> </w:t>
      </w:r>
    </w:p>
    <w:p w:rsidR="006F1E0D" w:rsidRDefault="006F1E0D" w:rsidP="006F1E0D">
      <w:pPr>
        <w:pStyle w:val="Heading2"/>
        <w:keepLines w:val="0"/>
        <w:spacing w:before="0" w:after="6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</w:p>
    <w:p w:rsidR="006F1E0D" w:rsidRPr="006F1E0D" w:rsidRDefault="00755991" w:rsidP="006F1E0D">
      <w:pPr>
        <w:pStyle w:val="Heading2"/>
        <w:keepLines w:val="0"/>
        <w:spacing w:before="0" w:after="60"/>
        <w:ind w:firstLine="72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  <w:r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Pay Item</w:t>
      </w:r>
      <w:r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ab/>
      </w:r>
      <w:r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ab/>
      </w:r>
      <w:r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ab/>
      </w:r>
      <w:r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ab/>
      </w:r>
      <w:r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ab/>
      </w:r>
      <w:r w:rsidRPr="006F1E0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ab/>
        <w:t>Pay Unit</w:t>
      </w:r>
    </w:p>
    <w:p w:rsidR="00755991" w:rsidRDefault="00651B4A" w:rsidP="00755991">
      <w:pPr>
        <w:ind w:left="720"/>
      </w:pPr>
      <w:r>
        <w:t>Vehicle Detection Monitor</w:t>
      </w:r>
      <w:r>
        <w:tab/>
      </w:r>
      <w:r>
        <w:tab/>
      </w:r>
      <w:r>
        <w:tab/>
      </w:r>
      <w:r>
        <w:tab/>
      </w:r>
      <w:r w:rsidR="00E90327">
        <w:t xml:space="preserve">   </w:t>
      </w:r>
      <w:r w:rsidR="00050C1B">
        <w:t>EA</w:t>
      </w:r>
      <w:bookmarkStart w:id="0" w:name="_GoBack"/>
      <w:bookmarkEnd w:id="0"/>
      <w:r>
        <w:t>.</w:t>
      </w:r>
    </w:p>
    <w:p w:rsidR="00755991" w:rsidRPr="001269DC" w:rsidRDefault="00755991" w:rsidP="00755991">
      <w:pPr>
        <w:ind w:left="360"/>
      </w:pPr>
    </w:p>
    <w:p w:rsidR="00755991" w:rsidRPr="00755991" w:rsidRDefault="00755991" w:rsidP="00755991"/>
    <w:p w:rsidR="00755991" w:rsidRDefault="00755991"/>
    <w:sectPr w:rsidR="007559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99" w:rsidRDefault="00C52B99" w:rsidP="00D535D9">
      <w:r>
        <w:separator/>
      </w:r>
    </w:p>
  </w:endnote>
  <w:endnote w:type="continuationSeparator" w:id="0">
    <w:p w:rsidR="00C52B99" w:rsidRDefault="00C52B99" w:rsidP="00D5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D9" w:rsidRDefault="00D535D9">
    <w:pPr>
      <w:pStyle w:val="Footer"/>
    </w:pPr>
    <w:r>
      <w:rPr>
        <w:rStyle w:val="PageNumber"/>
      </w:rPr>
      <w:tab/>
    </w:r>
    <w:r>
      <w:rPr>
        <w:rStyle w:val="PageNumber"/>
      </w:rPr>
      <w:tab/>
      <w:t>ITEM #1112284A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99" w:rsidRDefault="00C52B99" w:rsidP="00D535D9">
      <w:r>
        <w:separator/>
      </w:r>
    </w:p>
  </w:footnote>
  <w:footnote w:type="continuationSeparator" w:id="0">
    <w:p w:rsidR="00C52B99" w:rsidRDefault="00C52B99" w:rsidP="00D53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D9" w:rsidRDefault="006F1E0D" w:rsidP="00D535D9">
    <w:pPr>
      <w:pStyle w:val="Header"/>
      <w:jc w:val="right"/>
    </w:pPr>
    <w:r>
      <w:t>Date 1</w:t>
    </w:r>
    <w:r w:rsidR="00050C1B">
      <w:t>2</w:t>
    </w:r>
    <w:r w:rsidR="00D535D9">
      <w:t>-16</w:t>
    </w:r>
  </w:p>
  <w:p w:rsidR="00D535D9" w:rsidRPr="00B00FEF" w:rsidRDefault="00D535D9" w:rsidP="00D535D9">
    <w:pPr>
      <w:pStyle w:val="Header"/>
      <w:jc w:val="right"/>
      <w:rPr>
        <w:sz w:val="14"/>
        <w:szCs w:val="14"/>
      </w:rPr>
    </w:pP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PAGE </w:instrText>
    </w:r>
    <w:r w:rsidRPr="00B00FEF">
      <w:rPr>
        <w:rStyle w:val="PageNumber"/>
        <w:sz w:val="14"/>
        <w:szCs w:val="14"/>
      </w:rPr>
      <w:fldChar w:fldCharType="separate"/>
    </w:r>
    <w:r w:rsidR="00050C1B">
      <w:rPr>
        <w:rStyle w:val="PageNumber"/>
        <w:noProof/>
        <w:sz w:val="14"/>
        <w:szCs w:val="14"/>
      </w:rPr>
      <w:t>2</w:t>
    </w:r>
    <w:r w:rsidRPr="00B00FEF">
      <w:rPr>
        <w:rStyle w:val="PageNumber"/>
        <w:sz w:val="14"/>
        <w:szCs w:val="14"/>
      </w:rPr>
      <w:fldChar w:fldCharType="end"/>
    </w:r>
    <w:r w:rsidRPr="00B00FEF">
      <w:rPr>
        <w:rStyle w:val="PageNumber"/>
        <w:sz w:val="14"/>
        <w:szCs w:val="14"/>
      </w:rPr>
      <w:t xml:space="preserve"> of </w:t>
    </w: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NUMPAGES </w:instrText>
    </w:r>
    <w:r w:rsidRPr="00B00FEF">
      <w:rPr>
        <w:rStyle w:val="PageNumber"/>
        <w:sz w:val="14"/>
        <w:szCs w:val="14"/>
      </w:rPr>
      <w:fldChar w:fldCharType="separate"/>
    </w:r>
    <w:r w:rsidR="00050C1B">
      <w:rPr>
        <w:rStyle w:val="PageNumber"/>
        <w:noProof/>
        <w:sz w:val="14"/>
        <w:szCs w:val="14"/>
      </w:rPr>
      <w:t>2</w:t>
    </w:r>
    <w:r w:rsidRPr="00B00FEF">
      <w:rPr>
        <w:rStyle w:val="PageNumber"/>
        <w:sz w:val="14"/>
        <w:szCs w:val="14"/>
      </w:rPr>
      <w:fldChar w:fldCharType="end"/>
    </w:r>
  </w:p>
  <w:p w:rsidR="00D535D9" w:rsidRDefault="00D53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91"/>
    <w:rsid w:val="00044454"/>
    <w:rsid w:val="00050C1B"/>
    <w:rsid w:val="00116645"/>
    <w:rsid w:val="001536C4"/>
    <w:rsid w:val="00180A70"/>
    <w:rsid w:val="00243899"/>
    <w:rsid w:val="00335BAF"/>
    <w:rsid w:val="004673EF"/>
    <w:rsid w:val="004C64E9"/>
    <w:rsid w:val="0057000B"/>
    <w:rsid w:val="0057670F"/>
    <w:rsid w:val="005C24B7"/>
    <w:rsid w:val="005C2BBD"/>
    <w:rsid w:val="00617E57"/>
    <w:rsid w:val="00651B4A"/>
    <w:rsid w:val="006F1E0D"/>
    <w:rsid w:val="00700C6C"/>
    <w:rsid w:val="00755991"/>
    <w:rsid w:val="00783DAA"/>
    <w:rsid w:val="007A687B"/>
    <w:rsid w:val="00862DA5"/>
    <w:rsid w:val="00877A30"/>
    <w:rsid w:val="008911B5"/>
    <w:rsid w:val="00913C9B"/>
    <w:rsid w:val="009835FF"/>
    <w:rsid w:val="00AC0309"/>
    <w:rsid w:val="00B1514F"/>
    <w:rsid w:val="00B17EDD"/>
    <w:rsid w:val="00B30404"/>
    <w:rsid w:val="00B52C5E"/>
    <w:rsid w:val="00C35C80"/>
    <w:rsid w:val="00C52B99"/>
    <w:rsid w:val="00C742FA"/>
    <w:rsid w:val="00CE6D9C"/>
    <w:rsid w:val="00D535D9"/>
    <w:rsid w:val="00D61410"/>
    <w:rsid w:val="00E237C2"/>
    <w:rsid w:val="00E90327"/>
    <w:rsid w:val="00E95A39"/>
    <w:rsid w:val="00F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559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5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991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SpecHead2">
    <w:name w:val="SpecHead2"/>
    <w:basedOn w:val="Normal"/>
    <w:next w:val="Normal"/>
    <w:rsid w:val="00755991"/>
    <w:rPr>
      <w:b/>
    </w:rPr>
  </w:style>
  <w:style w:type="paragraph" w:customStyle="1" w:styleId="SpecHead1">
    <w:name w:val="SpecHead1"/>
    <w:basedOn w:val="Normal"/>
    <w:rsid w:val="00755991"/>
    <w:pPr>
      <w:spacing w:before="240" w:after="60"/>
      <w:jc w:val="left"/>
    </w:pPr>
    <w:rPr>
      <w:b/>
      <w:caps/>
      <w:u w:val="single"/>
    </w:rPr>
  </w:style>
  <w:style w:type="paragraph" w:styleId="BodyText">
    <w:name w:val="Body Text"/>
    <w:basedOn w:val="Normal"/>
    <w:link w:val="BodyTextChar"/>
    <w:rsid w:val="00755991"/>
    <w:pPr>
      <w:tabs>
        <w:tab w:val="left" w:pos="1440"/>
      </w:tabs>
    </w:pPr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rsid w:val="00755991"/>
    <w:rPr>
      <w:rFonts w:ascii="Courier New" w:eastAsia="Times New Roman" w:hAnsi="Courier New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D53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5D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3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5D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535D9"/>
  </w:style>
  <w:style w:type="character" w:styleId="CommentReference">
    <w:name w:val="annotation reference"/>
    <w:basedOn w:val="DefaultParagraphFont"/>
    <w:uiPriority w:val="99"/>
    <w:semiHidden/>
    <w:unhideWhenUsed/>
    <w:rsid w:val="00877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A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A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A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559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5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991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SpecHead2">
    <w:name w:val="SpecHead2"/>
    <w:basedOn w:val="Normal"/>
    <w:next w:val="Normal"/>
    <w:rsid w:val="00755991"/>
    <w:rPr>
      <w:b/>
    </w:rPr>
  </w:style>
  <w:style w:type="paragraph" w:customStyle="1" w:styleId="SpecHead1">
    <w:name w:val="SpecHead1"/>
    <w:basedOn w:val="Normal"/>
    <w:rsid w:val="00755991"/>
    <w:pPr>
      <w:spacing w:before="240" w:after="60"/>
      <w:jc w:val="left"/>
    </w:pPr>
    <w:rPr>
      <w:b/>
      <w:caps/>
      <w:u w:val="single"/>
    </w:rPr>
  </w:style>
  <w:style w:type="paragraph" w:styleId="BodyText">
    <w:name w:val="Body Text"/>
    <w:basedOn w:val="Normal"/>
    <w:link w:val="BodyTextChar"/>
    <w:rsid w:val="00755991"/>
    <w:pPr>
      <w:tabs>
        <w:tab w:val="left" w:pos="1440"/>
      </w:tabs>
    </w:pPr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rsid w:val="00755991"/>
    <w:rPr>
      <w:rFonts w:ascii="Courier New" w:eastAsia="Times New Roman" w:hAnsi="Courier New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D53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5D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3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5D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535D9"/>
  </w:style>
  <w:style w:type="character" w:styleId="CommentReference">
    <w:name w:val="annotation reference"/>
    <w:basedOn w:val="DefaultParagraphFont"/>
    <w:uiPriority w:val="99"/>
    <w:semiHidden/>
    <w:unhideWhenUsed/>
    <w:rsid w:val="00877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A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A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A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Polineni, Raja</dc:creator>
  <cp:lastModifiedBy>Swinburne, Diane K</cp:lastModifiedBy>
  <cp:revision>4</cp:revision>
  <cp:lastPrinted>2016-09-15T13:26:00Z</cp:lastPrinted>
  <dcterms:created xsi:type="dcterms:W3CDTF">2016-12-20T12:39:00Z</dcterms:created>
  <dcterms:modified xsi:type="dcterms:W3CDTF">2016-12-30T13:23:00Z</dcterms:modified>
</cp:coreProperties>
</file>