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5C" w:rsidRPr="00AD0CA7" w:rsidRDefault="009E2A5C" w:rsidP="009E2A5C">
      <w:pPr>
        <w:tabs>
          <w:tab w:val="left" w:pos="800"/>
        </w:tabs>
        <w:spacing w:after="0" w:line="240" w:lineRule="auto"/>
        <w:ind w:left="116" w:right="-20"/>
        <w:rPr>
          <w:rFonts w:ascii="Times New Roman" w:eastAsia="Times New Roman" w:hAnsi="Times New Roman"/>
          <w:b/>
          <w:sz w:val="20"/>
          <w:szCs w:val="20"/>
        </w:rPr>
      </w:pPr>
      <w:bookmarkStart w:id="0" w:name="_GoBack"/>
      <w:bookmarkEnd w:id="0"/>
      <w:r w:rsidRPr="00AD0CA7">
        <w:rPr>
          <w:rFonts w:ascii="Times New Roman" w:eastAsia="Times New Roman" w:hAnsi="Times New Roman"/>
          <w:b/>
          <w:sz w:val="20"/>
          <w:szCs w:val="20"/>
        </w:rPr>
        <w:t>Non-Discrimination and Affirmative Action Provisions</w:t>
      </w:r>
    </w:p>
    <w:p w:rsidR="009E2A5C" w:rsidRPr="0000612A" w:rsidRDefault="009E2A5C" w:rsidP="009E2A5C">
      <w:pPr>
        <w:spacing w:before="16" w:after="0" w:line="260" w:lineRule="exact"/>
        <w:rPr>
          <w:rFonts w:ascii="Times New Roman" w:hAnsi="Times New Roman"/>
          <w:sz w:val="20"/>
          <w:szCs w:val="20"/>
        </w:rPr>
      </w:pPr>
    </w:p>
    <w:p w:rsidR="009E2A5C" w:rsidRPr="0000612A" w:rsidRDefault="009E2A5C" w:rsidP="009E2A5C">
      <w:pPr>
        <w:tabs>
          <w:tab w:val="left" w:pos="1500"/>
        </w:tabs>
        <w:spacing w:after="0" w:line="240" w:lineRule="auto"/>
        <w:ind w:left="811" w:right="-20"/>
        <w:rPr>
          <w:rFonts w:ascii="Times New Roman" w:hAnsi="Times New Roman"/>
          <w:sz w:val="20"/>
          <w:szCs w:val="20"/>
        </w:rPr>
      </w:pPr>
      <w:r w:rsidRPr="0000612A">
        <w:rPr>
          <w:rFonts w:ascii="Times New Roman" w:eastAsia="Times New Roman" w:hAnsi="Times New Roman"/>
          <w:sz w:val="20"/>
          <w:szCs w:val="20"/>
        </w:rPr>
        <w:tab/>
      </w:r>
    </w:p>
    <w:p w:rsidR="009E2A5C" w:rsidRDefault="009E2A5C" w:rsidP="008F5FCD">
      <w:pPr>
        <w:spacing w:after="0" w:line="240" w:lineRule="auto"/>
        <w:ind w:left="1080" w:right="440" w:hanging="276"/>
        <w:jc w:val="both"/>
        <w:rPr>
          <w:rFonts w:ascii="Times New Roman" w:eastAsia="Times New Roman" w:hAnsi="Times New Roman"/>
          <w:sz w:val="20"/>
          <w:szCs w:val="20"/>
        </w:rPr>
      </w:pPr>
      <w:r w:rsidRPr="0000612A">
        <w:rPr>
          <w:rFonts w:ascii="Times New Roman" w:eastAsia="Times New Roman" w:hAnsi="Times New Roman"/>
          <w:sz w:val="20"/>
          <w:szCs w:val="20"/>
        </w:rPr>
        <w:t>(</w:t>
      </w:r>
      <w:r>
        <w:rPr>
          <w:rFonts w:ascii="Times New Roman" w:eastAsia="Times New Roman" w:hAnsi="Times New Roman"/>
          <w:sz w:val="20"/>
          <w:szCs w:val="20"/>
        </w:rPr>
        <w:t>A</w:t>
      </w:r>
      <w:r w:rsidRPr="0000612A">
        <w:rPr>
          <w:rFonts w:ascii="Times New Roman" w:eastAsia="Times New Roman" w:hAnsi="Times New Roman"/>
          <w:sz w:val="20"/>
          <w:szCs w:val="20"/>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w:t>
      </w:r>
      <w:r>
        <w:rPr>
          <w:rFonts w:ascii="Times New Roman" w:eastAsia="Times New Roman" w:hAnsi="Times New Roman"/>
          <w:sz w:val="20"/>
          <w:szCs w:val="20"/>
        </w:rPr>
        <w:t>gender identity or expression, sexual orientation,</w:t>
      </w:r>
      <w:r w:rsidR="000A5B9F">
        <w:rPr>
          <w:rFonts w:ascii="Times New Roman" w:eastAsia="Times New Roman" w:hAnsi="Times New Roman"/>
          <w:sz w:val="20"/>
          <w:szCs w:val="20"/>
        </w:rPr>
        <w:t xml:space="preserve"> </w:t>
      </w:r>
      <w:r>
        <w:rPr>
          <w:rFonts w:ascii="Times New Roman" w:eastAsia="Times New Roman" w:hAnsi="Times New Roman"/>
          <w:sz w:val="20"/>
          <w:szCs w:val="20"/>
        </w:rPr>
        <w:t xml:space="preserve">intellectual disability, </w:t>
      </w:r>
      <w:r w:rsidR="000A5B9F">
        <w:rPr>
          <w:rFonts w:ascii="Times New Roman" w:eastAsia="Times New Roman" w:hAnsi="Times New Roman"/>
          <w:sz w:val="20"/>
          <w:szCs w:val="20"/>
        </w:rPr>
        <w:t>mental disability</w:t>
      </w:r>
      <w:r>
        <w:rPr>
          <w:rFonts w:ascii="Times New Roman" w:eastAsia="Times New Roman" w:hAnsi="Times New Roman"/>
          <w:sz w:val="20"/>
          <w:szCs w:val="20"/>
        </w:rPr>
        <w:t xml:space="preserve"> or </w:t>
      </w:r>
      <w:r w:rsidRPr="0000612A">
        <w:rPr>
          <w:rFonts w:ascii="Times New Roman" w:eastAsia="Times New Roman" w:hAnsi="Times New Roman"/>
          <w:sz w:val="20"/>
          <w:szCs w:val="20"/>
        </w:rPr>
        <w:t>physical disability, including, but  not limited to,  blindness, unless it is shown  by such Contractor  that such disability prevents performance of the work involved,  in any manner prohibited by the laws of the United States or of the state  of Connecticut. The Contractor further  agrees to take affirmative action  to insure that applicants with job-related qualifications are employed and that employees are treated  when employed</w:t>
      </w:r>
      <w:r>
        <w:rPr>
          <w:rFonts w:ascii="Times New Roman" w:eastAsia="Times New Roman" w:hAnsi="Times New Roman"/>
          <w:sz w:val="20"/>
          <w:szCs w:val="20"/>
        </w:rPr>
        <w:t xml:space="preserve"> </w:t>
      </w:r>
      <w:r w:rsidRPr="0000612A">
        <w:rPr>
          <w:rFonts w:ascii="Times New Roman" w:eastAsia="Times New Roman" w:hAnsi="Times New Roman"/>
          <w:sz w:val="20"/>
          <w:szCs w:val="20"/>
        </w:rPr>
        <w:t xml:space="preserve">without regard to of race, color, religious creed, age, marital status, national origin, ancestry, sex, </w:t>
      </w:r>
      <w:r>
        <w:rPr>
          <w:rFonts w:ascii="Times New Roman" w:eastAsia="Times New Roman" w:hAnsi="Times New Roman"/>
          <w:sz w:val="20"/>
          <w:szCs w:val="20"/>
        </w:rPr>
        <w:t xml:space="preserve">gender identity or expression, intellectual disability, </w:t>
      </w:r>
      <w:r w:rsidR="000A5B9F">
        <w:rPr>
          <w:rFonts w:ascii="Times New Roman" w:eastAsia="Times New Roman" w:hAnsi="Times New Roman"/>
          <w:sz w:val="20"/>
          <w:szCs w:val="20"/>
        </w:rPr>
        <w:t>mental disability</w:t>
      </w:r>
      <w:r>
        <w:rPr>
          <w:rFonts w:ascii="Times New Roman" w:eastAsia="Times New Roman" w:hAnsi="Times New Roman"/>
          <w:sz w:val="20"/>
          <w:szCs w:val="20"/>
        </w:rPr>
        <w:t xml:space="preserve"> or </w:t>
      </w:r>
      <w:r w:rsidRPr="0000612A">
        <w:rPr>
          <w:rFonts w:ascii="Times New Roman" w:eastAsia="Times New Roman" w:hAnsi="Times New Roman"/>
          <w:sz w:val="20"/>
          <w:szCs w:val="20"/>
        </w:rPr>
        <w:t>physical disability, including, but  not limited to, blindness, unless it is shown by such Contractor that such disability prevents  performance of the work involved; (2) the Contractor agrees,</w:t>
      </w:r>
      <w:r>
        <w:rPr>
          <w:rFonts w:ascii="Times New Roman" w:eastAsia="Times New Roman" w:hAnsi="Times New Roman"/>
          <w:sz w:val="20"/>
          <w:szCs w:val="20"/>
        </w:rPr>
        <w:t xml:space="preserve"> </w:t>
      </w:r>
      <w:r w:rsidRPr="0000612A">
        <w:rPr>
          <w:rFonts w:ascii="Times New Roman" w:eastAsia="Times New Roman" w:hAnsi="Times New Roman"/>
          <w:sz w:val="20"/>
          <w:szCs w:val="20"/>
        </w:rPr>
        <w:t xml:space="preserve">in all solicitations or advertisements for employees placed by or ·on behalf of the Contractor, to state  that  it  is an ."affirmative action-equal opportunity employer" in accordance with regulations adopted by the commission; (3) the Contractor agrees to provide each labor union or representative of workers with which such Contractor has a collective bargaining agreement or other contract or understanding and each </w:t>
      </w:r>
      <w:r w:rsidRPr="00530B2A">
        <w:rPr>
          <w:rFonts w:ascii="Times New Roman" w:eastAsia="Arial" w:hAnsi="Times New Roman"/>
          <w:sz w:val="20"/>
          <w:szCs w:val="20"/>
        </w:rPr>
        <w:t>vendor</w:t>
      </w:r>
      <w:r w:rsidRPr="0000612A">
        <w:rPr>
          <w:rFonts w:ascii="Times New Roman" w:eastAsia="Arial" w:hAnsi="Times New Roman"/>
          <w:i/>
          <w:sz w:val="20"/>
          <w:szCs w:val="20"/>
        </w:rPr>
        <w:t xml:space="preserve"> </w:t>
      </w:r>
      <w:r w:rsidRPr="0000612A">
        <w:rPr>
          <w:rFonts w:ascii="Times New Roman" w:eastAsia="Times New Roman" w:hAnsi="Times New Roman"/>
          <w:sz w:val="20"/>
          <w:szCs w:val="20"/>
        </w:rPr>
        <w:t>with which such Contractor has a contract or understanding, a notice to be provided by the commission</w:t>
      </w:r>
      <w:r>
        <w:rPr>
          <w:rFonts w:ascii="Times New Roman" w:eastAsia="Times New Roman" w:hAnsi="Times New Roman"/>
          <w:sz w:val="20"/>
          <w:szCs w:val="20"/>
        </w:rPr>
        <w:t xml:space="preserve"> </w:t>
      </w:r>
      <w:r w:rsidRPr="0000612A">
        <w:rPr>
          <w:rFonts w:ascii="Times New Roman" w:eastAsia="Times New Roman" w:hAnsi="Times New Roman"/>
          <w:sz w:val="20"/>
          <w:szCs w:val="20"/>
        </w:rPr>
        <w:t>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sections 46a-68e and  46a-68f and with each  regulation or relevant order  issued by said commission pursuant to sections 46a-56, 46a-68e</w:t>
      </w:r>
      <w:r w:rsidR="00530B2A">
        <w:rPr>
          <w:rFonts w:ascii="Times New Roman" w:eastAsia="Times New Roman" w:hAnsi="Times New Roman"/>
          <w:sz w:val="20"/>
          <w:szCs w:val="20"/>
        </w:rPr>
        <w:t>,</w:t>
      </w:r>
      <w:r w:rsidRPr="0000612A">
        <w:rPr>
          <w:rFonts w:ascii="Times New Roman" w:eastAsia="Times New Roman" w:hAnsi="Times New Roman"/>
          <w:sz w:val="20"/>
          <w:szCs w:val="20"/>
        </w:rPr>
        <w:t>46a-68f</w:t>
      </w:r>
      <w:r w:rsidR="00530B2A">
        <w:rPr>
          <w:rFonts w:ascii="Times New Roman" w:eastAsia="Times New Roman" w:hAnsi="Times New Roman"/>
          <w:sz w:val="20"/>
          <w:szCs w:val="20"/>
        </w:rPr>
        <w:t xml:space="preserve"> and 46a-86</w:t>
      </w:r>
      <w:r w:rsidRPr="0000612A">
        <w:rPr>
          <w:rFonts w:ascii="Times New Roman" w:eastAsia="Times New Roman" w:hAnsi="Times New Roman"/>
          <w:sz w:val="20"/>
          <w:szCs w:val="20"/>
        </w:rPr>
        <w:t>;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section 46a-56.</w:t>
      </w:r>
    </w:p>
    <w:p w:rsidR="008F5FCD" w:rsidRDefault="008F5FCD" w:rsidP="00530B2A">
      <w:pPr>
        <w:spacing w:after="0" w:line="240" w:lineRule="auto"/>
        <w:ind w:left="1080" w:right="-20" w:hanging="276"/>
        <w:rPr>
          <w:rFonts w:ascii="Times New Roman" w:eastAsia="Times New Roman" w:hAnsi="Times New Roman"/>
          <w:sz w:val="20"/>
          <w:szCs w:val="20"/>
        </w:rPr>
      </w:pPr>
    </w:p>
    <w:p w:rsidR="008F5FCD" w:rsidRPr="0000612A" w:rsidRDefault="008F5FCD" w:rsidP="008F5FCD">
      <w:pPr>
        <w:spacing w:after="0" w:line="240" w:lineRule="auto"/>
        <w:ind w:left="1080" w:right="360" w:hanging="276"/>
        <w:jc w:val="both"/>
        <w:rPr>
          <w:rFonts w:ascii="Times New Roman" w:eastAsia="Times New Roman" w:hAnsi="Times New Roman"/>
          <w:sz w:val="20"/>
          <w:szCs w:val="20"/>
        </w:rPr>
      </w:pPr>
      <w:r>
        <w:rPr>
          <w:rFonts w:ascii="Times New Roman" w:eastAsia="Times New Roman" w:hAnsi="Times New Roman"/>
          <w:sz w:val="20"/>
          <w:szCs w:val="20"/>
        </w:rPr>
        <w:t>(B) Any Contractor who is a party to a municipal public works contract or quasi-public agency project, where any such contract is valued at less than $50,000 for each year of the contract, shall provide the Commission on Human Rights and Opportunities with a written or electronic representation that complies with the nondiscrimination agreement and warranty under subsection (A)(1) above, provided if there is any change in such representation, the Contractor shall provide the updated representation to the Commission not later than 30 days after such change.  Any Contractor who is a party to a municipal public works contract or a quasi-public agency project, where any such contract is valued at $50,000 or more for any year of the contract, shall provide the Commission with any one of the following: (1) Documentation in the form of a company or corporate police adopted by resolution of the board of directors, shareholder, managers, members or other g9overning body of such Contractor that complies with the nondiscrimination agreement and warranty under subsection (A)(1) of this section; (2) Documentation in the form of a company or corporate policy adopted by a prior resolution of the board of directors, shareholders, managers, mem</w:t>
      </w:r>
      <w:r w:rsidR="00E91E37">
        <w:rPr>
          <w:rFonts w:ascii="Times New Roman" w:eastAsia="Times New Roman" w:hAnsi="Times New Roman"/>
          <w:sz w:val="20"/>
          <w:szCs w:val="20"/>
        </w:rPr>
        <w:t>b</w:t>
      </w:r>
      <w:r>
        <w:rPr>
          <w:rFonts w:ascii="Times New Roman" w:eastAsia="Times New Roman" w:hAnsi="Times New Roman"/>
          <w:sz w:val="20"/>
          <w:szCs w:val="20"/>
        </w:rPr>
        <w:t xml:space="preserve">ers or other governing </w:t>
      </w:r>
      <w:r w:rsidR="00E91E37">
        <w:rPr>
          <w:rFonts w:ascii="Times New Roman" w:eastAsia="Times New Roman" w:hAnsi="Times New Roman"/>
          <w:sz w:val="20"/>
          <w:szCs w:val="20"/>
        </w:rPr>
        <w:t>bo</w:t>
      </w:r>
      <w:r>
        <w:rPr>
          <w:rFonts w:ascii="Times New Roman" w:eastAsia="Times New Roman" w:hAnsi="Times New Roman"/>
          <w:sz w:val="20"/>
          <w:szCs w:val="20"/>
        </w:rPr>
        <w:t xml:space="preserve">dy of such contractor if (a) the prior resolution is certified by a duly authorized corporate </w:t>
      </w:r>
      <w:r w:rsidR="00E91E37">
        <w:rPr>
          <w:rFonts w:ascii="Times New Roman" w:eastAsia="Times New Roman" w:hAnsi="Times New Roman"/>
          <w:sz w:val="20"/>
          <w:szCs w:val="20"/>
        </w:rPr>
        <w:t>of</w:t>
      </w:r>
      <w:r>
        <w:rPr>
          <w:rFonts w:ascii="Times New Roman" w:eastAsia="Times New Roman" w:hAnsi="Times New Roman"/>
          <w:sz w:val="20"/>
          <w:szCs w:val="20"/>
        </w:rPr>
        <w:t>ficer of such contractor to be in effect on the date the documen</w:t>
      </w:r>
      <w:r w:rsidR="00E91E37">
        <w:rPr>
          <w:rFonts w:ascii="Times New Roman" w:eastAsia="Times New Roman" w:hAnsi="Times New Roman"/>
          <w:sz w:val="20"/>
          <w:szCs w:val="20"/>
        </w:rPr>
        <w:t>tat</w:t>
      </w:r>
      <w:r>
        <w:rPr>
          <w:rFonts w:ascii="Times New Roman" w:eastAsia="Times New Roman" w:hAnsi="Times New Roman"/>
          <w:sz w:val="20"/>
          <w:szCs w:val="20"/>
        </w:rPr>
        <w:t>ion is sub</w:t>
      </w:r>
      <w:r w:rsidR="00E91E37">
        <w:rPr>
          <w:rFonts w:ascii="Times New Roman" w:eastAsia="Times New Roman" w:hAnsi="Times New Roman"/>
          <w:sz w:val="20"/>
          <w:szCs w:val="20"/>
        </w:rPr>
        <w:t>mi</w:t>
      </w:r>
      <w:r>
        <w:rPr>
          <w:rFonts w:ascii="Times New Roman" w:eastAsia="Times New Roman" w:hAnsi="Times New Roman"/>
          <w:sz w:val="20"/>
          <w:szCs w:val="20"/>
        </w:rPr>
        <w:t xml:space="preserve">tted, and </w:t>
      </w:r>
      <w:r w:rsidR="00E91E37">
        <w:rPr>
          <w:rFonts w:ascii="Times New Roman" w:eastAsia="Times New Roman" w:hAnsi="Times New Roman"/>
          <w:sz w:val="20"/>
          <w:szCs w:val="20"/>
        </w:rPr>
        <w:t>the executive director of the Commission on Human Rights and Opportunities or designee certifies that the prior resolution complies with the nondiscrimination agreement and warranty under subdivision (A)(1) of this section; or (3) Documentation in the form of an affidavit signed under penalty of false statement by a chief executive officer, president, chairperson or other corporate officer duly authorized to adopt company or corporate policy that certifies that the company or corporate policy of the contractor complies with the nondiscrimination agreement and warranty under subdivision (A)(1) of this section and is in effect on the date the affidavit is signed.</w:t>
      </w:r>
      <w:r>
        <w:rPr>
          <w:rFonts w:ascii="Times New Roman" w:eastAsia="Times New Roman" w:hAnsi="Times New Roman"/>
          <w:sz w:val="20"/>
          <w:szCs w:val="20"/>
        </w:rPr>
        <w:t>.</w:t>
      </w:r>
    </w:p>
    <w:p w:rsidR="009E2A5C" w:rsidRPr="0000612A" w:rsidRDefault="009E2A5C" w:rsidP="009E2A5C">
      <w:pPr>
        <w:spacing w:before="1" w:after="0" w:line="240" w:lineRule="exact"/>
        <w:rPr>
          <w:rFonts w:ascii="Times New Roman" w:hAnsi="Times New Roman"/>
          <w:sz w:val="20"/>
          <w:szCs w:val="20"/>
        </w:rPr>
      </w:pPr>
    </w:p>
    <w:p w:rsidR="009E2A5C" w:rsidRPr="0000612A" w:rsidRDefault="009E2A5C" w:rsidP="009E2A5C">
      <w:pPr>
        <w:spacing w:after="0" w:line="239" w:lineRule="auto"/>
        <w:ind w:left="1062" w:right="438" w:hanging="330"/>
        <w:jc w:val="both"/>
        <w:rPr>
          <w:rFonts w:ascii="Times New Roman" w:eastAsia="Times New Roman" w:hAnsi="Times New Roman"/>
          <w:sz w:val="20"/>
          <w:szCs w:val="20"/>
        </w:rPr>
      </w:pPr>
      <w:r w:rsidRPr="0000612A">
        <w:rPr>
          <w:rFonts w:ascii="Times New Roman" w:eastAsia="Times New Roman" w:hAnsi="Times New Roman"/>
          <w:sz w:val="20"/>
          <w:szCs w:val="20"/>
        </w:rPr>
        <w:t>(</w:t>
      </w:r>
      <w:r w:rsidR="00E91E37">
        <w:rPr>
          <w:rFonts w:ascii="Times New Roman" w:eastAsia="Times New Roman" w:hAnsi="Times New Roman"/>
          <w:sz w:val="20"/>
          <w:szCs w:val="20"/>
        </w:rPr>
        <w:t>C</w:t>
      </w:r>
      <w:r w:rsidRPr="0000612A">
        <w:rPr>
          <w:rFonts w:ascii="Times New Roman" w:eastAsia="Times New Roman" w:hAnsi="Times New Roman"/>
          <w:sz w:val="20"/>
          <w:szCs w:val="20"/>
        </w:rPr>
        <w:t>) If the Contract is a</w:t>
      </w:r>
      <w:r w:rsidR="00530B2A">
        <w:rPr>
          <w:rFonts w:ascii="Times New Roman" w:eastAsia="Times New Roman" w:hAnsi="Times New Roman"/>
          <w:sz w:val="20"/>
          <w:szCs w:val="20"/>
        </w:rPr>
        <w:t xml:space="preserve"> municipal</w:t>
      </w:r>
      <w:r w:rsidRPr="0000612A">
        <w:rPr>
          <w:rFonts w:ascii="Times New Roman" w:eastAsia="Times New Roman" w:hAnsi="Times New Roman"/>
          <w:sz w:val="20"/>
          <w:szCs w:val="20"/>
        </w:rPr>
        <w:t xml:space="preserve"> public works contract</w:t>
      </w:r>
      <w:r w:rsidR="00530B2A">
        <w:rPr>
          <w:rFonts w:ascii="Times New Roman" w:eastAsia="Times New Roman" w:hAnsi="Times New Roman"/>
          <w:sz w:val="20"/>
          <w:szCs w:val="20"/>
        </w:rPr>
        <w:t xml:space="preserve"> or a quasi-public agency project</w:t>
      </w:r>
      <w:r w:rsidRPr="0000612A">
        <w:rPr>
          <w:rFonts w:ascii="Times New Roman" w:eastAsia="Times New Roman" w:hAnsi="Times New Roman"/>
          <w:sz w:val="20"/>
          <w:szCs w:val="20"/>
        </w:rPr>
        <w:t xml:space="preserve">, the </w:t>
      </w:r>
      <w:r w:rsidRPr="0000612A">
        <w:rPr>
          <w:rFonts w:ascii="Times New Roman" w:eastAsia="Times New Roman" w:hAnsi="Times New Roman"/>
          <w:sz w:val="20"/>
          <w:szCs w:val="20"/>
        </w:rPr>
        <w:lastRenderedPageBreak/>
        <w:t xml:space="preserve">Contractor agrees and warrants that </w:t>
      </w:r>
      <w:r>
        <w:rPr>
          <w:rFonts w:ascii="Times New Roman" w:eastAsia="Times New Roman" w:hAnsi="Times New Roman"/>
          <w:sz w:val="20"/>
          <w:szCs w:val="20"/>
        </w:rPr>
        <w:t>s/</w:t>
      </w:r>
      <w:r w:rsidRPr="0000612A">
        <w:rPr>
          <w:rFonts w:ascii="Times New Roman" w:eastAsia="Times New Roman" w:hAnsi="Times New Roman"/>
          <w:sz w:val="20"/>
          <w:szCs w:val="20"/>
        </w:rPr>
        <w:t>he will make good faith efforts to employ minority business enterprises as subcontractors and suppliers of materials on such public works project.</w:t>
      </w:r>
      <w:r w:rsidR="00144336">
        <w:rPr>
          <w:rFonts w:ascii="Times New Roman" w:eastAsia="Times New Roman" w:hAnsi="Times New Roman"/>
          <w:sz w:val="20"/>
          <w:szCs w:val="20"/>
        </w:rPr>
        <w:t xml:space="preserve">  The Contractor shall include the provisions of subdivision (A</w:t>
      </w:r>
      <w:proofErr w:type="gramStart"/>
      <w:r w:rsidR="00144336">
        <w:rPr>
          <w:rFonts w:ascii="Times New Roman" w:eastAsia="Times New Roman" w:hAnsi="Times New Roman"/>
          <w:sz w:val="20"/>
          <w:szCs w:val="20"/>
        </w:rPr>
        <w:t>)(</w:t>
      </w:r>
      <w:proofErr w:type="gramEnd"/>
      <w:r w:rsidR="00144336">
        <w:rPr>
          <w:rFonts w:ascii="Times New Roman" w:eastAsia="Times New Roman" w:hAnsi="Times New Roman"/>
          <w:sz w:val="20"/>
          <w:szCs w:val="20"/>
        </w:rPr>
        <w:t xml:space="preserve">1) of this section in every subcontract or purchase order entered into to fulfill any obligation of a municipal public works contract or contract for a quasi-public agency project, and such provisions shall be binding on a subcontractor, vendor or manufacturer, unless exempted by regulations or orders of the Commission on Human Rights and Opportunities.  The Contractor shall take such action with respect to any such subcontract or purchase order as the Commission may direct as a means of enforcing such provisions, including sanctions for noncompliance in accordance with section 46a-56;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 </w:t>
      </w:r>
      <w:r w:rsidR="00530B2A">
        <w:rPr>
          <w:rFonts w:ascii="Times New Roman" w:eastAsia="Times New Roman" w:hAnsi="Times New Roman"/>
          <w:sz w:val="20"/>
          <w:szCs w:val="20"/>
        </w:rPr>
        <w:t xml:space="preserve">  </w:t>
      </w:r>
    </w:p>
    <w:p w:rsidR="009E2A5C" w:rsidRPr="0000612A" w:rsidRDefault="009E2A5C" w:rsidP="009E2A5C">
      <w:pPr>
        <w:spacing w:before="1" w:after="0" w:line="240" w:lineRule="exact"/>
        <w:rPr>
          <w:rFonts w:ascii="Times New Roman" w:hAnsi="Times New Roman"/>
          <w:sz w:val="20"/>
          <w:szCs w:val="20"/>
        </w:rPr>
      </w:pPr>
    </w:p>
    <w:p w:rsidR="009E2A5C" w:rsidRPr="0000612A" w:rsidRDefault="009E2A5C" w:rsidP="009E2A5C">
      <w:pPr>
        <w:spacing w:after="0" w:line="238" w:lineRule="auto"/>
        <w:ind w:left="1040" w:right="437" w:hanging="315"/>
        <w:jc w:val="both"/>
        <w:rPr>
          <w:rFonts w:ascii="Times New Roman" w:eastAsia="Times New Roman" w:hAnsi="Times New Roman"/>
          <w:sz w:val="20"/>
          <w:szCs w:val="20"/>
        </w:rPr>
      </w:pPr>
      <w:r>
        <w:rPr>
          <w:rFonts w:ascii="Times New Roman" w:eastAsia="Times New Roman" w:hAnsi="Times New Roman"/>
          <w:sz w:val="20"/>
          <w:szCs w:val="20"/>
        </w:rPr>
        <w:t>(</w:t>
      </w:r>
      <w:r w:rsidR="00E91E37">
        <w:rPr>
          <w:rFonts w:ascii="Times New Roman" w:eastAsia="Times New Roman" w:hAnsi="Times New Roman"/>
          <w:sz w:val="20"/>
          <w:szCs w:val="20"/>
        </w:rPr>
        <w:t>D</w:t>
      </w:r>
      <w:r>
        <w:rPr>
          <w:rFonts w:ascii="Times New Roman" w:eastAsia="Times New Roman" w:hAnsi="Times New Roman"/>
          <w:sz w:val="20"/>
          <w:szCs w:val="20"/>
        </w:rPr>
        <w:t xml:space="preserve">) </w:t>
      </w:r>
      <w:r w:rsidRPr="0000612A">
        <w:rPr>
          <w:rFonts w:ascii="Times New Roman" w:eastAsia="Times New Roman" w:hAnsi="Times New Roman"/>
          <w:sz w:val="20"/>
          <w:szCs w:val="20"/>
        </w:rPr>
        <w:t>"Minority business enterprise" means any small contractor or supplier of materials fifty-one per 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section 32-9n;  and "good faith" means that degree  of diligence which a reasonable  person would exercise in the performance  of legal duties and obligations. "Good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r w:rsidR="008F5FCD" w:rsidRPr="008F5FCD">
        <w:rPr>
          <w:rFonts w:ascii="Times New Roman" w:eastAsia="Times New Roman" w:hAnsi="Times New Roman"/>
          <w:sz w:val="20"/>
          <w:szCs w:val="20"/>
        </w:rPr>
        <w:t xml:space="preserve"> </w:t>
      </w:r>
      <w:r w:rsidR="008F5FCD">
        <w:rPr>
          <w:rFonts w:ascii="Times New Roman" w:eastAsia="Times New Roman" w:hAnsi="Times New Roman"/>
          <w:sz w:val="20"/>
          <w:szCs w:val="20"/>
        </w:rPr>
        <w:t>Determination of the Contractor’s good faith efforts shall include, but shall not be eliminated to, the following factors: The contractor’s employment and subcontracting policies, patterns and practices; affirmative advertising recruitment and training; technical assistance activities and such other reasonable activities or efforts as the Commission on Human Rights and Opportunities may prescribe that are designed to ensure the participation of minority business enterprises in municipal public works contracts or quasi-public agency projects.</w:t>
      </w:r>
      <w:r w:rsidR="00E91E37">
        <w:rPr>
          <w:rFonts w:ascii="Times New Roman" w:eastAsia="Times New Roman" w:hAnsi="Times New Roman"/>
          <w:sz w:val="20"/>
          <w:szCs w:val="20"/>
        </w:rPr>
        <w:t xml:space="preserve">  “Municipal public works project” means that portion of an agreement entered into on or after October 1, 2015, between any individual, form or corporation and a municipality for the construction, rehabilitation, conversion, extension, demolition or repair of a public building, highway or other changes or improvements in real property, which is financed in whole or in part by the state, including, but not limited to, matching expenditures, grants, loans, insurance or guarantees but excluding any project of an alliance district, as defined in section 10-262u, finance by the state funding in an amount equal to fifty thousand dollars or less.  “Quasi-public agency project” means the construction, rehabilitation, conversion, extension, demolition or repair of a building or other changes or improvements in real property pursuant to a contract entered into on or after October 1, 2015, which is financed in whole or in part by a quasi-public agency using state funds, including, but not limited to, matching expenditures, grants, loans, insurance or guarantees.</w:t>
      </w:r>
    </w:p>
    <w:p w:rsidR="009E2A5C" w:rsidRPr="0000612A" w:rsidRDefault="009E2A5C" w:rsidP="009E2A5C">
      <w:pPr>
        <w:spacing w:before="8" w:after="0" w:line="190" w:lineRule="exact"/>
        <w:rPr>
          <w:rFonts w:ascii="Times New Roman" w:hAnsi="Times New Roman"/>
          <w:sz w:val="20"/>
          <w:szCs w:val="20"/>
        </w:rPr>
      </w:pPr>
    </w:p>
    <w:p w:rsidR="00740A92" w:rsidRDefault="00740A92"/>
    <w:sectPr w:rsidR="00740A92" w:rsidSect="0014433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5C"/>
    <w:rsid w:val="00047B79"/>
    <w:rsid w:val="000A5B9F"/>
    <w:rsid w:val="00144336"/>
    <w:rsid w:val="00530B2A"/>
    <w:rsid w:val="00740A92"/>
    <w:rsid w:val="007440BE"/>
    <w:rsid w:val="008F5FCD"/>
    <w:rsid w:val="009E2A5C"/>
    <w:rsid w:val="00E9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5C"/>
    <w:pPr>
      <w:widowControl w:val="0"/>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A5C"/>
    <w:pPr>
      <w:widowControl w:val="0"/>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David</dc:creator>
  <cp:lastModifiedBy>Hill, Spencer</cp:lastModifiedBy>
  <cp:revision>2</cp:revision>
  <cp:lastPrinted>2016-07-19T19:58:00Z</cp:lastPrinted>
  <dcterms:created xsi:type="dcterms:W3CDTF">2016-07-19T19:59:00Z</dcterms:created>
  <dcterms:modified xsi:type="dcterms:W3CDTF">2016-07-19T19:59:00Z</dcterms:modified>
</cp:coreProperties>
</file>